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720" w:lineRule="auto"/>
        <w:ind w:firstLine="880"/>
        <w:jc w:val="center"/>
        <w:rPr>
          <w:rFonts w:ascii="黑体" w:hAnsi="黑体" w:eastAsia="黑体"/>
          <w:sz w:val="44"/>
          <w:szCs w:val="40"/>
        </w:rPr>
      </w:pPr>
      <w:r>
        <w:rPr>
          <w:rFonts w:hint="eastAsia" w:ascii="黑体" w:hAnsi="黑体" w:eastAsia="黑体"/>
          <w:sz w:val="44"/>
          <w:szCs w:val="40"/>
        </w:rPr>
        <w:t>陕西省医疗保障信息平台</w:t>
      </w:r>
    </w:p>
    <w:p>
      <w:pPr>
        <w:spacing w:line="720" w:lineRule="auto"/>
        <w:ind w:firstLine="880"/>
        <w:jc w:val="center"/>
        <w:rPr>
          <w:rFonts w:ascii="黑体" w:hAnsi="黑体" w:eastAsia="黑体"/>
          <w:sz w:val="44"/>
          <w:szCs w:val="40"/>
        </w:rPr>
      </w:pPr>
      <w:r>
        <w:rPr>
          <w:rFonts w:hint="eastAsia" w:ascii="黑体" w:hAnsi="黑体" w:eastAsia="黑体"/>
          <w:sz w:val="44"/>
          <w:szCs w:val="40"/>
        </w:rPr>
        <w:t>药品和医用耗材招采管理子系统</w:t>
      </w:r>
    </w:p>
    <w:p>
      <w:pPr>
        <w:spacing w:line="720" w:lineRule="auto"/>
        <w:ind w:firstLine="880"/>
        <w:jc w:val="center"/>
        <w:rPr>
          <w:rFonts w:ascii="黑体" w:hAnsi="黑体" w:eastAsia="黑体"/>
          <w:sz w:val="44"/>
          <w:szCs w:val="40"/>
        </w:rPr>
      </w:pPr>
      <w:r>
        <w:rPr>
          <w:rFonts w:hint="eastAsia" w:ascii="黑体" w:hAnsi="黑体" w:eastAsia="黑体"/>
          <w:sz w:val="44"/>
          <w:szCs w:val="40"/>
        </w:rPr>
        <w:t>医用耗材交易操作手册（医疗机构）</w:t>
      </w:r>
    </w:p>
    <w:p>
      <w:pPr>
        <w:ind w:firstLine="480"/>
      </w:pPr>
    </w:p>
    <w:p>
      <w:pPr>
        <w:ind w:firstLine="480"/>
      </w:pPr>
    </w:p>
    <w:p>
      <w:pPr>
        <w:ind w:firstLine="480"/>
      </w:pPr>
    </w:p>
    <w:p>
      <w:pPr>
        <w:ind w:firstLine="480"/>
      </w:pPr>
    </w:p>
    <w:p>
      <w:pPr>
        <w:ind w:firstLine="480"/>
      </w:pPr>
    </w:p>
    <w:p>
      <w:pPr>
        <w:ind w:firstLine="480"/>
      </w:pPr>
    </w:p>
    <w:p>
      <w:pPr>
        <w:ind w:firstLine="480"/>
      </w:pPr>
    </w:p>
    <w:p>
      <w:pPr>
        <w:ind w:firstLine="480"/>
      </w:pPr>
    </w:p>
    <w:p>
      <w:pPr>
        <w:ind w:firstLine="480"/>
      </w:pPr>
    </w:p>
    <w:p>
      <w:pPr>
        <w:ind w:firstLine="480"/>
      </w:pPr>
    </w:p>
    <w:p>
      <w:pPr>
        <w:spacing w:before="156" w:after="156"/>
        <w:ind w:left="420" w:firstLine="480"/>
      </w:pPr>
    </w:p>
    <w:p>
      <w:pPr>
        <w:spacing w:before="156" w:after="156"/>
        <w:ind w:left="420" w:firstLine="480"/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  <w:r>
        <w:rPr>
          <w:rFonts w:hint="eastAsia" w:ascii="宋体" w:hAnsi="宋体"/>
          <w:sz w:val="30"/>
          <w:szCs w:val="30"/>
        </w:rPr>
        <w:t>陕西省公共资源交易中心</w:t>
      </w: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  <w:r>
        <w:rPr>
          <w:rFonts w:hint="eastAsia" w:ascii="宋体" w:hAnsi="宋体"/>
          <w:sz w:val="30"/>
          <w:szCs w:val="30"/>
        </w:rPr>
        <w:t>贰零二二年四月</w:t>
      </w: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  <w:r>
        <w:rPr>
          <w:rFonts w:ascii="宋体" w:hAnsi="宋体"/>
          <w:sz w:val="30"/>
          <w:szCs w:val="30"/>
        </w:rPr>
        <w:br w:type="page"/>
      </w:r>
    </w:p>
    <w:p>
      <w:pPr>
        <w:spacing w:before="312" w:beforeLines="100" w:after="312" w:afterLines="100" w:line="480" w:lineRule="auto"/>
        <w:ind w:firstLine="5" w:firstLineChars="1"/>
        <w:jc w:val="center"/>
        <w:rPr>
          <w:rFonts w:ascii="黑体" w:hAnsi="黑体" w:eastAsia="黑体"/>
          <w:sz w:val="52"/>
          <w:szCs w:val="52"/>
        </w:rPr>
      </w:pPr>
      <w:r>
        <w:rPr>
          <w:rFonts w:hint="eastAsia" w:ascii="黑体" w:hAnsi="黑体" w:eastAsia="黑体"/>
          <w:sz w:val="52"/>
          <w:szCs w:val="52"/>
        </w:rPr>
        <w:t>欢迎使用</w:t>
      </w:r>
    </w:p>
    <w:p>
      <w:pPr>
        <w:spacing w:before="312" w:beforeLines="100" w:after="312" w:afterLines="100"/>
        <w:ind w:firstLineChars="0"/>
        <w:jc w:val="center"/>
        <w:rPr>
          <w:rFonts w:ascii="黑体" w:hAnsi="黑体" w:eastAsia="黑体"/>
          <w:sz w:val="48"/>
          <w:szCs w:val="48"/>
        </w:rPr>
      </w:pPr>
      <w:r>
        <w:rPr>
          <w:rFonts w:hint="eastAsia" w:ascii="黑体" w:hAnsi="黑体" w:eastAsia="黑体"/>
          <w:sz w:val="48"/>
          <w:szCs w:val="48"/>
        </w:rPr>
        <w:t>陕西省医疗保障信息平台</w:t>
      </w:r>
    </w:p>
    <w:p>
      <w:pPr>
        <w:spacing w:before="312" w:beforeLines="100" w:after="312" w:afterLines="100"/>
        <w:ind w:firstLineChars="0"/>
        <w:jc w:val="center"/>
        <w:rPr>
          <w:rFonts w:ascii="黑体" w:hAnsi="黑体" w:eastAsia="黑体"/>
          <w:sz w:val="48"/>
          <w:szCs w:val="48"/>
        </w:rPr>
      </w:pPr>
      <w:r>
        <w:rPr>
          <w:rFonts w:hint="eastAsia" w:ascii="黑体" w:hAnsi="黑体" w:eastAsia="黑体"/>
          <w:sz w:val="48"/>
          <w:szCs w:val="48"/>
        </w:rPr>
        <w:t>药品和医用耗材招采管理子系统</w:t>
      </w: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</w:p>
    <w:p>
      <w:pPr>
        <w:spacing w:before="156" w:after="156"/>
        <w:ind w:firstLine="480"/>
      </w:pPr>
      <w:bookmarkStart w:id="0" w:name="_Toc233189553"/>
      <w:bookmarkStart w:id="1" w:name="_Toc246739487"/>
      <w:bookmarkStart w:id="2" w:name="_Toc428344568"/>
      <w:bookmarkStart w:id="3" w:name="_Toc248638615"/>
      <w:bookmarkStart w:id="4" w:name="_Toc428124240"/>
      <w:r>
        <w:rPr>
          <w:rFonts w:hint="eastAsia"/>
        </w:rPr>
        <w:t>关于本用户手册</w:t>
      </w:r>
      <w:bookmarkEnd w:id="0"/>
      <w:bookmarkEnd w:id="1"/>
      <w:bookmarkEnd w:id="2"/>
      <w:bookmarkEnd w:id="3"/>
      <w:bookmarkEnd w:id="4"/>
    </w:p>
    <w:p>
      <w:pPr>
        <w:spacing w:before="156" w:after="156"/>
        <w:ind w:left="420" w:firstLine="540" w:firstLineChars="225"/>
      </w:pPr>
      <w:r>
        <w:rPr>
          <w:rFonts w:hint="eastAsia"/>
        </w:rPr>
        <w:t>本手册包含了您··药品交易所需了解的信息。手册中所出现的用户名称及相关数据均为系统测试数据，不作为任何正式采购的依据。</w:t>
      </w:r>
    </w:p>
    <w:p>
      <w:pPr>
        <w:spacing w:before="156" w:after="156"/>
        <w:ind w:left="420" w:firstLine="600"/>
        <w:jc w:val="center"/>
        <w:rPr>
          <w:rFonts w:ascii="宋体" w:hAnsi="宋体"/>
          <w:sz w:val="30"/>
          <w:szCs w:val="30"/>
        </w:rPr>
      </w:pPr>
      <w:r>
        <w:rPr>
          <w:rFonts w:ascii="宋体" w:hAnsi="宋体"/>
          <w:sz w:val="30"/>
          <w:szCs w:val="30"/>
        </w:rPr>
        <w:br w:type="page"/>
      </w:r>
    </w:p>
    <w:p>
      <w:pPr>
        <w:pStyle w:val="2"/>
        <w:spacing w:before="312" w:after="312"/>
        <w:ind w:left="562" w:hanging="562"/>
      </w:pPr>
      <w:r>
        <w:rPr>
          <w:rFonts w:hint="eastAsia"/>
        </w:rPr>
        <w:t>使用须知</w:t>
      </w:r>
    </w:p>
    <w:p>
      <w:pPr>
        <w:spacing w:before="156" w:after="156"/>
        <w:ind w:firstLine="480"/>
        <w:rPr>
          <w:rFonts w:ascii="宋体" w:hAnsi="宋体"/>
        </w:rPr>
      </w:pPr>
      <w:r>
        <w:rPr>
          <w:rFonts w:hint="eastAsia" w:ascii="宋体" w:hAnsi="宋体"/>
        </w:rPr>
        <w:t>操作系统要求：对操作系统要求不高，</w:t>
      </w:r>
      <w:r>
        <w:rPr>
          <w:rFonts w:ascii="宋体" w:hAnsi="宋体"/>
        </w:rPr>
        <w:t>Windows XP及以上即可。</w:t>
      </w:r>
    </w:p>
    <w:p>
      <w:pPr>
        <w:spacing w:before="156" w:after="156"/>
        <w:ind w:firstLine="480"/>
        <w:rPr>
          <w:rFonts w:ascii="宋体" w:hAnsi="宋体"/>
        </w:rPr>
      </w:pPr>
      <w:r>
        <w:rPr>
          <w:rFonts w:hint="eastAsia" w:ascii="宋体" w:hAnsi="宋体"/>
        </w:rPr>
        <w:t>浏览器要求：涉及到签章功能，谷歌浏览器请使用</w:t>
      </w:r>
      <w:r>
        <w:rPr>
          <w:rFonts w:ascii="宋体" w:hAnsi="宋体"/>
        </w:rPr>
        <w:t xml:space="preserve"> 94以下版本，360极速浏览器请使用9.5以下版本，IE浏览器无限制。</w:t>
      </w:r>
    </w:p>
    <w:p>
      <w:pPr>
        <w:pStyle w:val="2"/>
        <w:spacing w:before="312" w:after="312"/>
        <w:ind w:left="562" w:hanging="562"/>
      </w:pPr>
      <w:r>
        <w:rPr>
          <w:rFonts w:hint="eastAsia"/>
        </w:rPr>
        <w:t>用户登录</w:t>
      </w:r>
    </w:p>
    <w:p>
      <w:pPr>
        <w:spacing w:before="156" w:after="156"/>
        <w:ind w:firstLine="480"/>
      </w:pPr>
      <w:r>
        <w:rPr>
          <w:rFonts w:hint="eastAsia"/>
        </w:rPr>
        <w:t>用户在浏览器中输入</w:t>
      </w:r>
      <w:r>
        <w:rPr>
          <w:color w:val="4472C4" w:themeColor="accent1"/>
          <w14:textFill>
            <w14:solidFill>
              <w14:schemeClr w14:val="accent1"/>
            </w14:solidFill>
          </w14:textFill>
        </w:rPr>
        <w:t>https://zwfw.shaanxi.gov.cn/ggfw/hallEnter/#/Index</w:t>
      </w:r>
      <w:r>
        <w:rPr>
          <w:rFonts w:hint="eastAsia"/>
        </w:rPr>
        <w:t>进入陕西省医保公共服务网上服务大厅医保公共服务门户页面</w:t>
      </w:r>
      <w:r>
        <w:t>，</w:t>
      </w:r>
      <w:r>
        <w:rPr>
          <w:rFonts w:hint="eastAsia"/>
        </w:rPr>
        <w:t>点击</w:t>
      </w:r>
      <w:r>
        <w:t>【</w:t>
      </w:r>
      <w:r>
        <w:rPr>
          <w:rFonts w:hint="eastAsia"/>
        </w:rPr>
        <w:t>单位登录</w:t>
      </w:r>
      <w:r>
        <w:t>】</w:t>
      </w:r>
      <w:r>
        <w:rPr>
          <w:rFonts w:hint="eastAsia"/>
        </w:rPr>
        <w:t>进入登录页面</w:t>
      </w:r>
      <w:r>
        <w:t>。</w:t>
      </w:r>
    </w:p>
    <w:p>
      <w:pPr>
        <w:spacing w:before="156" w:after="156"/>
        <w:ind w:firstLine="480"/>
        <w:jc w:val="center"/>
      </w:pPr>
      <w:r>
        <w:drawing>
          <wp:inline distT="0" distB="0" distL="0" distR="0">
            <wp:extent cx="2012315" cy="1799590"/>
            <wp:effectExtent l="0" t="0" r="698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124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1"/>
        <w:keepNext/>
        <w:keepLines/>
        <w:numPr>
          <w:ilvl w:val="0"/>
          <w:numId w:val="2"/>
        </w:numPr>
        <w:spacing w:before="156" w:beforeLines="50" w:after="156" w:afterLines="50" w:line="720" w:lineRule="auto"/>
        <w:ind w:firstLineChars="0"/>
        <w:outlineLvl w:val="2"/>
        <w:rPr>
          <w:b/>
          <w:bCs/>
          <w:vanish/>
          <w:szCs w:val="32"/>
        </w:rPr>
      </w:pPr>
    </w:p>
    <w:p>
      <w:pPr>
        <w:pStyle w:val="21"/>
        <w:keepNext/>
        <w:keepLines/>
        <w:numPr>
          <w:ilvl w:val="0"/>
          <w:numId w:val="2"/>
        </w:numPr>
        <w:spacing w:before="156" w:beforeLines="50" w:after="156" w:afterLines="50" w:line="720" w:lineRule="auto"/>
        <w:ind w:firstLineChars="0"/>
        <w:outlineLvl w:val="2"/>
        <w:rPr>
          <w:b/>
          <w:bCs/>
          <w:vanish/>
          <w:szCs w:val="32"/>
        </w:rPr>
      </w:pPr>
    </w:p>
    <w:p>
      <w:pPr>
        <w:pStyle w:val="4"/>
        <w:numPr>
          <w:ilvl w:val="1"/>
          <w:numId w:val="2"/>
        </w:numPr>
        <w:spacing w:before="156" w:after="156"/>
      </w:pPr>
      <w:r>
        <w:rPr>
          <w:rFonts w:hint="eastAsia"/>
        </w:rPr>
        <w:t>CA证书登录</w:t>
      </w:r>
    </w:p>
    <w:p>
      <w:pPr>
        <w:spacing w:before="156" w:after="156"/>
        <w:ind w:firstLine="480"/>
      </w:pPr>
      <w:r>
        <w:rPr>
          <w:rFonts w:hint="eastAsia"/>
        </w:rPr>
        <w:t>登录界面中点击【</w:t>
      </w:r>
      <w:r>
        <w:drawing>
          <wp:inline distT="0" distB="0" distL="0" distR="0">
            <wp:extent cx="737870" cy="212090"/>
            <wp:effectExtent l="0" t="0" r="508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38000" cy="2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】。</w:t>
      </w:r>
    </w:p>
    <w:p>
      <w:pPr>
        <w:spacing w:before="156" w:after="156"/>
        <w:ind w:firstLine="480"/>
      </w:pPr>
      <w:r>
        <w:rPr>
          <w:rFonts w:hint="eastAsia"/>
        </w:rPr>
        <w:t>插入CAKey选择证书。</w:t>
      </w:r>
    </w:p>
    <w:p>
      <w:pPr>
        <w:spacing w:before="156" w:after="156"/>
        <w:ind w:left="480" w:firstLine="0" w:firstLineChars="0"/>
        <w:jc w:val="center"/>
      </w:pPr>
      <w:r>
        <w:drawing>
          <wp:inline distT="0" distB="0" distL="0" distR="0">
            <wp:extent cx="2912110" cy="179959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24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480"/>
      </w:pPr>
      <w:r>
        <w:rPr>
          <w:rFonts w:hint="eastAsia"/>
        </w:rPr>
        <w:t>点击【</w:t>
      </w:r>
      <w:r>
        <w:drawing>
          <wp:inline distT="0" distB="0" distL="0" distR="0">
            <wp:extent cx="1273810" cy="17970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44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】，在弹出的对话框中输入用户口令，点击【确定】即可登录公共服务网上服务大厅。</w:t>
      </w:r>
    </w:p>
    <w:p>
      <w:pPr>
        <w:spacing w:before="156" w:after="156"/>
        <w:ind w:firstLine="480"/>
        <w:jc w:val="center"/>
        <w:rPr>
          <w:rFonts w:ascii="Times New Roman" w:hAnsi="Times New Roman" w:eastAsia="Times New Roman" w:cs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  <w:lang w:val="zh-CN" w:eastAsia="zh-CN" w:bidi="zh-CN"/>
        </w:rPr>
      </w:pPr>
      <w:r>
        <w:drawing>
          <wp:inline distT="0" distB="0" distL="0" distR="0">
            <wp:extent cx="2141855" cy="1079500"/>
            <wp:effectExtent l="0" t="0" r="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42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after="156"/>
        <w:ind w:firstLine="480"/>
      </w:pPr>
      <w:r>
        <w:rPr>
          <w:rFonts w:hint="eastAsia"/>
        </w:rPr>
        <w:t>点击登录，在弹出的对话框中输入用户口令，点击【确定】即可进入公共服务网上服务大厅。登录成功后点击【</w:t>
      </w:r>
      <w:r>
        <w:drawing>
          <wp:inline distT="0" distB="0" distL="0" distR="0">
            <wp:extent cx="680085" cy="208280"/>
            <wp:effectExtent l="0" t="0" r="5715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0400" cy="2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】，跳转至我的服务大厅，点击【</w:t>
      </w:r>
      <w:r>
        <w:drawing>
          <wp:inline distT="0" distB="0" distL="0" distR="0">
            <wp:extent cx="676275" cy="19431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76800" cy="1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】后跳转至“药品和医用耗材招采管理子系统”。</w:t>
      </w:r>
    </w:p>
    <w:p>
      <w:pPr>
        <w:pStyle w:val="4"/>
        <w:numPr>
          <w:ilvl w:val="1"/>
          <w:numId w:val="2"/>
        </w:numPr>
        <w:spacing w:before="156" w:after="156"/>
        <w:ind w:left="562" w:hanging="562"/>
      </w:pPr>
      <w:r>
        <w:rPr>
          <w:rFonts w:hint="eastAsia"/>
        </w:rPr>
        <w:t>单位账号/经办人账号登录</w:t>
      </w:r>
    </w:p>
    <w:p>
      <w:pPr>
        <w:spacing w:before="156" w:after="156"/>
        <w:ind w:firstLine="480"/>
      </w:pPr>
      <w:r>
        <w:rPr>
          <w:rFonts w:hint="eastAsia"/>
        </w:rPr>
        <w:t>在登录框中输入用户名、密码和验证码后点击【</w:t>
      </w:r>
      <w:r>
        <w:drawing>
          <wp:inline distT="0" distB="0" distL="0" distR="0">
            <wp:extent cx="1273810" cy="17970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44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】即可进入公共服务网上服务大厅。登录成功后点击【</w:t>
      </w:r>
      <w:r>
        <w:drawing>
          <wp:inline distT="0" distB="0" distL="0" distR="0">
            <wp:extent cx="680085" cy="208280"/>
            <wp:effectExtent l="0" t="0" r="5715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0400" cy="2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】，跳转至我的服务大厅，点击【</w:t>
      </w:r>
      <w:r>
        <w:drawing>
          <wp:inline distT="0" distB="0" distL="0" distR="0">
            <wp:extent cx="676275" cy="19431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76800" cy="1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】后跳转至“药品和医用耗材招采管理子系统”。</w:t>
      </w:r>
      <w:r>
        <w:br w:type="page"/>
      </w:r>
    </w:p>
    <w:p>
      <w:pPr>
        <w:pStyle w:val="2"/>
        <w:spacing w:before="312" w:after="312"/>
        <w:ind w:left="562" w:hanging="562"/>
      </w:pPr>
      <w:r>
        <w:rPr>
          <w:rFonts w:hint="eastAsia"/>
        </w:rPr>
        <w:t>功能介绍</w:t>
      </w:r>
    </w:p>
    <w:p>
      <w:pPr>
        <w:ind w:firstLine="480"/>
      </w:pPr>
      <w:r>
        <w:rPr>
          <w:rFonts w:hint="eastAsia"/>
        </w:rPr>
        <w:t>陕西省医疗保障信息平台-药品和医用耗材招采管理子系统，医疗机构日常医用耗材交易采购流程如下图：</w:t>
      </w:r>
      <w:r>
        <w:t xml:space="preserve"> </w:t>
      </w:r>
    </w:p>
    <w:p>
      <w:pPr>
        <w:ind w:firstLine="480"/>
      </w:pPr>
      <w:r>
        <w:drawing>
          <wp:inline distT="0" distB="0" distL="0" distR="0">
            <wp:extent cx="5274310" cy="584009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4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keepNext/>
        <w:keepLines/>
        <w:numPr>
          <w:ilvl w:val="0"/>
          <w:numId w:val="3"/>
        </w:numPr>
        <w:spacing w:before="156" w:beforeLines="50" w:after="156" w:afterLines="50" w:line="415" w:lineRule="auto"/>
        <w:ind w:firstLineChars="0"/>
        <w:outlineLvl w:val="1"/>
        <w:rPr>
          <w:rFonts w:hint="eastAsia" w:ascii="宋体" w:hAnsi="宋体" w:cstheme="majorBidi"/>
          <w:b/>
          <w:bCs/>
          <w:vanish/>
          <w:sz w:val="28"/>
          <w:szCs w:val="32"/>
        </w:rPr>
      </w:pPr>
    </w:p>
    <w:p>
      <w:pPr>
        <w:pStyle w:val="21"/>
        <w:keepNext/>
        <w:keepLines/>
        <w:numPr>
          <w:ilvl w:val="0"/>
          <w:numId w:val="3"/>
        </w:numPr>
        <w:spacing w:before="156" w:beforeLines="50" w:after="156" w:afterLines="50" w:line="415" w:lineRule="auto"/>
        <w:ind w:firstLineChars="0"/>
        <w:outlineLvl w:val="1"/>
        <w:rPr>
          <w:rFonts w:hint="eastAsia" w:ascii="宋体" w:hAnsi="宋体" w:cstheme="majorBidi"/>
          <w:b/>
          <w:bCs/>
          <w:vanish/>
          <w:sz w:val="28"/>
          <w:szCs w:val="32"/>
        </w:rPr>
      </w:pPr>
    </w:p>
    <w:p>
      <w:pPr>
        <w:pStyle w:val="21"/>
        <w:keepNext/>
        <w:keepLines/>
        <w:numPr>
          <w:ilvl w:val="0"/>
          <w:numId w:val="3"/>
        </w:numPr>
        <w:spacing w:before="156" w:beforeLines="50" w:after="156" w:afterLines="50" w:line="415" w:lineRule="auto"/>
        <w:ind w:firstLineChars="0"/>
        <w:outlineLvl w:val="1"/>
        <w:rPr>
          <w:rFonts w:hint="eastAsia" w:ascii="宋体" w:hAnsi="宋体" w:cstheme="majorBidi"/>
          <w:b/>
          <w:bCs/>
          <w:vanish/>
          <w:sz w:val="28"/>
          <w:szCs w:val="32"/>
        </w:rPr>
      </w:pPr>
    </w:p>
    <w:p>
      <w:pPr>
        <w:pStyle w:val="4"/>
        <w:numPr>
          <w:ilvl w:val="1"/>
          <w:numId w:val="3"/>
        </w:numPr>
        <w:spacing w:before="156" w:after="156"/>
        <w:ind w:left="567"/>
      </w:pPr>
      <w:r>
        <w:rPr>
          <w:rFonts w:hint="eastAsia"/>
        </w:rPr>
        <w:t>维护产品至院内目录</w:t>
      </w: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维护院内目录 — 集采目录</w:t>
      </w:r>
    </w:p>
    <w:p>
      <w:pPr>
        <w:ind w:firstLine="480"/>
      </w:pPr>
      <w:r>
        <w:rPr>
          <w:rFonts w:hint="eastAsia"/>
        </w:rPr>
        <w:t>点击“院内目录管理”进入院内目录列表页面（如图1）。</w:t>
      </w:r>
    </w:p>
    <w:p>
      <w:pPr>
        <w:ind w:firstLine="480"/>
        <w:jc w:val="left"/>
      </w:pPr>
      <w:r>
        <w:drawing>
          <wp:inline distT="0" distB="0" distL="0" distR="0">
            <wp:extent cx="5274310" cy="2456815"/>
            <wp:effectExtent l="0" t="0" r="2540" b="63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</w:t>
      </w:r>
      <w:r>
        <w:fldChar w:fldCharType="end"/>
      </w:r>
    </w:p>
    <w:p>
      <w:pPr>
        <w:ind w:firstLine="480"/>
      </w:pPr>
      <w:r>
        <w:rPr>
          <w:rFonts w:hint="eastAsia"/>
        </w:rPr>
        <w:t>点击【</w:t>
      </w:r>
      <w:r>
        <w:drawing>
          <wp:inline distT="0" distB="0" distL="0" distR="0">
            <wp:extent cx="528955" cy="197485"/>
            <wp:effectExtent l="0" t="0" r="444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9200" cy="1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】后页面弹窗展示集采目录产品列表，勾选对应产品后点击【</w:t>
      </w:r>
      <w:r>
        <w:drawing>
          <wp:inline distT="0" distB="0" distL="0" distR="0">
            <wp:extent cx="755650" cy="190500"/>
            <wp:effectExtent l="0" t="0" r="635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】即将对应产品添加至院内目录（如图2）。</w:t>
      </w:r>
    </w:p>
    <w:p>
      <w:pPr>
        <w:ind w:firstLine="480"/>
      </w:pPr>
      <w:r>
        <w:drawing>
          <wp:inline distT="0" distB="0" distL="0" distR="0">
            <wp:extent cx="5274310" cy="3117850"/>
            <wp:effectExtent l="0" t="0" r="2540" b="635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2</w:t>
      </w:r>
      <w:r>
        <w:fldChar w:fldCharType="end"/>
      </w:r>
    </w:p>
    <w:p>
      <w:pPr>
        <w:ind w:firstLine="480"/>
      </w:pPr>
      <w:r>
        <w:rPr>
          <w:rFonts w:hint="eastAsia"/>
        </w:rPr>
        <w:t>产品维护至院内目录后需为产品设置对应配送企业，</w:t>
      </w:r>
      <w:r>
        <w:rPr>
          <w:rFonts w:hint="eastAsia"/>
          <w:lang w:val="en-US" w:eastAsia="zh-Hans"/>
        </w:rPr>
        <w:t>选择对应产品</w:t>
      </w:r>
      <w:r>
        <w:rPr>
          <w:rFonts w:hint="eastAsia"/>
        </w:rPr>
        <w:t>点击【</w:t>
      </w:r>
      <w:r>
        <w:rPr>
          <w:rFonts w:hint="eastAsia"/>
          <w:lang w:val="en-US" w:eastAsia="zh-Hans"/>
        </w:rPr>
        <w:t>设置配送企业</w:t>
      </w:r>
      <w:r>
        <w:rPr>
          <w:rFonts w:hint="eastAsia"/>
        </w:rPr>
        <w:t>】按钮，</w:t>
      </w:r>
      <w:r>
        <w:rPr>
          <w:rFonts w:hint="eastAsia"/>
          <w:lang w:val="en-US" w:eastAsia="zh-Hans"/>
        </w:rPr>
        <w:t>生产企业勾选的配送企业会展示到配送企业列表中，选择其中一家配送企业设置</w:t>
      </w:r>
      <w:r>
        <w:rPr>
          <w:rFonts w:hint="eastAsia"/>
        </w:rPr>
        <w:t>。</w:t>
      </w:r>
    </w:p>
    <w:p>
      <w:pPr>
        <w:ind w:firstLine="0" w:firstLineChars="0"/>
      </w:pPr>
      <w:r>
        <w:drawing>
          <wp:inline distT="0" distB="0" distL="114300" distR="114300">
            <wp:extent cx="5269230" cy="2701925"/>
            <wp:effectExtent l="0" t="0" r="13970" b="1587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0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5" w:name="_GoBack"/>
      <w:bookmarkEnd w:id="5"/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维护院内目录 — 带量采购目录</w:t>
      </w:r>
    </w:p>
    <w:p>
      <w:pPr>
        <w:ind w:firstLine="480"/>
      </w:pPr>
      <w:r>
        <w:rPr>
          <w:rFonts w:hint="eastAsia"/>
        </w:rPr>
        <w:t>操作方式同上，勾选产品为带量采购中选品种。</w:t>
      </w: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维护院内目录 — 备案采购目录</w:t>
      </w:r>
    </w:p>
    <w:p>
      <w:pPr>
        <w:ind w:firstLine="480"/>
      </w:pPr>
      <w:r>
        <w:rPr>
          <w:rFonts w:hint="eastAsia"/>
        </w:rPr>
        <w:t>备案采购目录内产品需提前申请备案，中心审核通过后方可进行备案采购，申请备案流程如下：</w:t>
      </w:r>
    </w:p>
    <w:p>
      <w:pPr>
        <w:ind w:firstLine="480"/>
      </w:pPr>
      <w:r>
        <w:rPr>
          <w:rFonts w:hint="eastAsia"/>
        </w:rPr>
        <w:t>点击“</w:t>
      </w:r>
      <w:r>
        <w:drawing>
          <wp:inline distT="0" distB="0" distL="0" distR="0">
            <wp:extent cx="928370" cy="201295"/>
            <wp:effectExtent l="0" t="0" r="5080" b="825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2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”进入对应页面，点击【</w:t>
      </w:r>
      <w:r>
        <w:drawing>
          <wp:inline distT="0" distB="0" distL="0" distR="0">
            <wp:extent cx="320040" cy="190500"/>
            <wp:effectExtent l="0" t="0" r="381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04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】进入新增备案产品页面，选择需备案产品（如图3），点击【</w:t>
      </w:r>
      <w:r>
        <w:drawing>
          <wp:inline distT="0" distB="0" distL="0" distR="0">
            <wp:extent cx="330835" cy="1905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12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】确认所选药品。</w:t>
      </w:r>
    </w:p>
    <w:p>
      <w:pPr>
        <w:keepNext/>
        <w:ind w:firstLine="480"/>
      </w:pPr>
      <w:r>
        <w:drawing>
          <wp:inline distT="0" distB="0" distL="0" distR="0">
            <wp:extent cx="5274310" cy="2466340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3</w:t>
      </w:r>
      <w:r>
        <w:fldChar w:fldCharType="end"/>
      </w:r>
    </w:p>
    <w:p>
      <w:pPr>
        <w:ind w:firstLine="480"/>
      </w:pPr>
      <w:r>
        <w:rPr>
          <w:rFonts w:hint="eastAsia"/>
        </w:rPr>
        <w:t>选择配送企业，点击【</w:t>
      </w:r>
      <w:r>
        <w:drawing>
          <wp:inline distT="0" distB="0" distL="0" distR="0">
            <wp:extent cx="330835" cy="19050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12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】后页面弹窗展示配送企业列表，勾选配送企业后点击【</w:t>
      </w:r>
      <w:r>
        <w:drawing>
          <wp:inline distT="0" distB="0" distL="0" distR="0">
            <wp:extent cx="330835" cy="1905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12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】确认所选配送企业。</w:t>
      </w:r>
    </w:p>
    <w:p>
      <w:pPr>
        <w:keepNext/>
        <w:ind w:firstLine="480"/>
      </w:pPr>
      <w:r>
        <w:drawing>
          <wp:inline distT="0" distB="0" distL="0" distR="0">
            <wp:extent cx="5274310" cy="3885565"/>
            <wp:effectExtent l="0" t="0" r="254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8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4</w:t>
      </w:r>
      <w:r>
        <w:fldChar w:fldCharType="end"/>
      </w:r>
    </w:p>
    <w:p>
      <w:pPr>
        <w:ind w:firstLine="480"/>
      </w:pPr>
      <w:r>
        <w:rPr>
          <w:rFonts w:hint="eastAsia"/>
        </w:rPr>
        <w:t>根据页面提示输入采购价、拟采购量、采购金额、采购类型、申请理由等内容（如图5），填写完毕后点击【</w:t>
      </w:r>
      <w:r>
        <w:drawing>
          <wp:inline distT="0" distB="0" distL="0" distR="0">
            <wp:extent cx="395605" cy="190500"/>
            <wp:effectExtent l="0" t="0" r="444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】。</w:t>
      </w:r>
    </w:p>
    <w:p>
      <w:pPr>
        <w:keepNext/>
        <w:ind w:firstLine="480"/>
      </w:pPr>
      <w:r>
        <w:drawing>
          <wp:inline distT="0" distB="0" distL="0" distR="0">
            <wp:extent cx="5274310" cy="2459990"/>
            <wp:effectExtent l="0" t="0" r="254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5</w:t>
      </w:r>
      <w:r>
        <w:fldChar w:fldCharType="end"/>
      </w:r>
    </w:p>
    <w:p>
      <w:pPr>
        <w:ind w:firstLine="480"/>
      </w:pPr>
      <w:r>
        <w:rPr>
          <w:rFonts w:hint="eastAsia"/>
        </w:rPr>
        <w:t>页面返回备案采购管理页面，确认产品备案信息无误后点击【提交】（如图6），该产品备案信息即提交至中心端审核，审核通过后该产品自动添加到院内目录 — 备案采购目录清单内。</w:t>
      </w:r>
    </w:p>
    <w:p>
      <w:pPr>
        <w:keepNext/>
        <w:ind w:firstLine="480"/>
      </w:pPr>
      <w:r>
        <w:drawing>
          <wp:inline distT="0" distB="0" distL="0" distR="0">
            <wp:extent cx="5274310" cy="2469515"/>
            <wp:effectExtent l="0" t="0" r="2540" b="698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6</w:t>
      </w:r>
      <w:r>
        <w:fldChar w:fldCharType="end"/>
      </w: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维护院内目录 — 普耗目录</w:t>
      </w:r>
    </w:p>
    <w:p>
      <w:pPr>
        <w:ind w:firstLine="480"/>
      </w:pPr>
      <w:r>
        <w:rPr>
          <w:rFonts w:hint="eastAsia"/>
        </w:rPr>
        <w:t>点击【</w:t>
      </w:r>
      <w:r>
        <w:drawing>
          <wp:inline distT="0" distB="0" distL="0" distR="0">
            <wp:extent cx="528955" cy="197485"/>
            <wp:effectExtent l="0" t="0" r="4445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9200" cy="1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】后页面弹窗展示普耗产品列表，勾选对应产品后点击【</w:t>
      </w:r>
      <w:r>
        <w:drawing>
          <wp:inline distT="0" distB="0" distL="0" distR="0">
            <wp:extent cx="874395" cy="226695"/>
            <wp:effectExtent l="0" t="0" r="1905" b="190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74800" cy="22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】即将对应产品添加至院内目录（如图</w:t>
      </w:r>
      <w:r>
        <w:t>7</w:t>
      </w:r>
      <w:r>
        <w:rPr>
          <w:rFonts w:hint="eastAsia"/>
        </w:rPr>
        <w:t>）。</w:t>
      </w:r>
    </w:p>
    <w:p>
      <w:pPr>
        <w:keepNext/>
        <w:ind w:firstLine="480"/>
      </w:pPr>
      <w:r>
        <w:drawing>
          <wp:inline distT="0" distB="0" distL="0" distR="0">
            <wp:extent cx="5274310" cy="2447290"/>
            <wp:effectExtent l="0" t="0" r="254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7</w:t>
      </w:r>
      <w:r>
        <w:fldChar w:fldCharType="end"/>
      </w:r>
    </w:p>
    <w:p>
      <w:pPr>
        <w:ind w:firstLine="480"/>
      </w:pPr>
      <w:r>
        <w:rPr>
          <w:rFonts w:hint="eastAsia"/>
        </w:rPr>
        <w:t>普耗产品添加到院内目录后需维护采购价，点击【</w:t>
      </w:r>
      <w:r>
        <w:drawing>
          <wp:inline distT="0" distB="0" distL="0" distR="0">
            <wp:extent cx="762000" cy="219075"/>
            <wp:effectExtent l="0" t="0" r="0" b="952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】，采购价由医疗机构自行填写（如图8）。</w:t>
      </w:r>
    </w:p>
    <w:p>
      <w:pPr>
        <w:keepNext/>
        <w:ind w:firstLine="480"/>
      </w:pPr>
      <w:r>
        <w:drawing>
          <wp:inline distT="0" distB="0" distL="0" distR="0">
            <wp:extent cx="5274310" cy="2587625"/>
            <wp:effectExtent l="0" t="0" r="2540" b="3175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8</w:t>
      </w:r>
      <w:r>
        <w:fldChar w:fldCharType="end"/>
      </w:r>
    </w:p>
    <w:p>
      <w:pPr>
        <w:ind w:firstLine="480"/>
      </w:pPr>
      <w:r>
        <w:rPr>
          <w:rFonts w:hint="eastAsia"/>
        </w:rPr>
        <w:t>维护采购价后还需设置配送企业，点击【</w:t>
      </w:r>
      <w:r>
        <w:drawing>
          <wp:inline distT="0" distB="0" distL="0" distR="0">
            <wp:extent cx="694690" cy="205105"/>
            <wp:effectExtent l="0" t="0" r="0" b="444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94800" cy="2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】页面弹窗展示系统内所有配送企业，选择对应配送企业点击【</w:t>
      </w:r>
      <w:r>
        <w:drawing>
          <wp:inline distT="0" distB="0" distL="0" distR="0">
            <wp:extent cx="471170" cy="201295"/>
            <wp:effectExtent l="0" t="0" r="5080" b="8255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71600" cy="2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】，发送建立配送关系申请至配送企业，等待配送企业响应建立配送关系，配送关系建立后即可新建采购计划（如图9）。</w:t>
      </w:r>
    </w:p>
    <w:p>
      <w:pPr>
        <w:keepNext/>
        <w:ind w:firstLine="480"/>
      </w:pPr>
      <w:r>
        <w:drawing>
          <wp:inline distT="0" distB="0" distL="0" distR="0">
            <wp:extent cx="5274310" cy="2458720"/>
            <wp:effectExtent l="0" t="0" r="2540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  <w:rPr>
          <w:rFonts w:hint="eastAsia"/>
        </w:rPr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9</w:t>
      </w:r>
      <w:r>
        <w:fldChar w:fldCharType="end"/>
      </w:r>
    </w:p>
    <w:p>
      <w:pPr>
        <w:pStyle w:val="4"/>
        <w:numPr>
          <w:ilvl w:val="1"/>
          <w:numId w:val="3"/>
        </w:numPr>
        <w:spacing w:before="156" w:after="156"/>
        <w:ind w:left="567"/>
      </w:pPr>
      <w:r>
        <w:rPr>
          <w:rFonts w:hint="eastAsia"/>
        </w:rPr>
        <w:t>产品议价</w:t>
      </w:r>
    </w:p>
    <w:p>
      <w:pPr>
        <w:ind w:firstLine="480"/>
      </w:pPr>
      <w:r>
        <w:rPr>
          <w:rFonts w:hint="eastAsia"/>
        </w:rPr>
        <w:t>院内目录 — 集采目录内产品采购前需进行议价确定采购价格，确定采购价格后方可进行采购。议价流程如下：</w:t>
      </w:r>
    </w:p>
    <w:p>
      <w:pPr>
        <w:pStyle w:val="5"/>
        <w:spacing w:before="156" w:after="156"/>
        <w:rPr>
          <w:rFonts w:ascii="宋体" w:hAnsi="宋体"/>
          <w:b w:val="0"/>
          <w:bCs w:val="0"/>
        </w:rPr>
      </w:pPr>
      <w:r>
        <w:rPr>
          <w:rFonts w:hint="eastAsia"/>
        </w:rPr>
        <w:t>3</w:t>
      </w:r>
      <w:r>
        <w:t xml:space="preserve">.2.1 </w:t>
      </w:r>
      <w:r>
        <w:rPr>
          <w:rFonts w:hint="eastAsia"/>
        </w:rPr>
        <w:t>发起议价—提交报价</w:t>
      </w:r>
    </w:p>
    <w:p>
      <w:pPr>
        <w:keepNext/>
        <w:ind w:firstLine="480"/>
      </w:pPr>
      <w:r>
        <w:rPr>
          <w:rFonts w:hint="eastAsia"/>
        </w:rPr>
        <w:t>点击“议价管理”内【</w:t>
      </w:r>
      <w:r>
        <w:drawing>
          <wp:inline distT="0" distB="0" distL="0" distR="0">
            <wp:extent cx="719455" cy="197485"/>
            <wp:effectExtent l="0" t="0" r="444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1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】进入议价目录列表页面，点击对应产品后的【</w:t>
      </w:r>
      <w:r>
        <w:drawing>
          <wp:inline distT="0" distB="0" distL="0" distR="0">
            <wp:extent cx="708660" cy="205105"/>
            <wp:effectExtent l="0" t="0" r="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09200" cy="2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】按钮进入该产品议价页面，根据页面提示填写报价，价格填写好后点击【</w:t>
      </w:r>
      <w:r>
        <w:drawing>
          <wp:inline distT="0" distB="0" distL="0" distR="0">
            <wp:extent cx="370205" cy="201295"/>
            <wp:effectExtent l="0" t="0" r="0" b="825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70800" cy="2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】将报价发送至生产企业（如图</w:t>
      </w:r>
      <w:r>
        <w:t>10</w:t>
      </w:r>
      <w:r>
        <w:rPr>
          <w:rFonts w:hint="eastAsia"/>
        </w:rPr>
        <w:t>），等待生产企业响应。</w:t>
      </w:r>
      <w:r>
        <w:br w:type="textWrapping"/>
      </w:r>
      <w:r>
        <w:rPr>
          <w:rFonts w:hint="eastAsia"/>
        </w:rPr>
        <w:t xml:space="preserve">注意：产品议价时，议价价格不得高于参考价。 </w:t>
      </w:r>
      <w:r>
        <w:br w:type="textWrapping"/>
      </w:r>
      <w:r>
        <w:drawing>
          <wp:inline distT="0" distB="0" distL="0" distR="0">
            <wp:extent cx="5274310" cy="2468245"/>
            <wp:effectExtent l="0" t="0" r="2540" b="825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10</w:t>
      </w:r>
      <w:r>
        <w:fldChar w:fldCharType="end"/>
      </w:r>
    </w:p>
    <w:p>
      <w:pPr>
        <w:ind w:firstLine="480"/>
      </w:pPr>
    </w:p>
    <w:p>
      <w:pPr>
        <w:pStyle w:val="4"/>
        <w:numPr>
          <w:ilvl w:val="1"/>
          <w:numId w:val="3"/>
        </w:numPr>
        <w:spacing w:before="156" w:after="156"/>
        <w:ind w:left="567"/>
      </w:pPr>
      <w:r>
        <w:rPr>
          <w:rFonts w:hint="eastAsia"/>
        </w:rPr>
        <w:t>采购管理</w:t>
      </w: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收货地址维护</w:t>
      </w:r>
    </w:p>
    <w:p>
      <w:pPr>
        <w:ind w:firstLine="480"/>
      </w:pPr>
      <w:r>
        <w:rPr>
          <w:rFonts w:hint="eastAsia"/>
        </w:rPr>
        <w:t>点击“采购管理”菜单内</w:t>
      </w:r>
      <w:r>
        <w:drawing>
          <wp:inline distT="0" distB="0" distL="0" distR="0">
            <wp:extent cx="723265" cy="201295"/>
            <wp:effectExtent l="0" t="0" r="635" b="825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23600" cy="2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进入收货地址维护页面，点击【</w:t>
      </w:r>
      <w:r>
        <w:drawing>
          <wp:inline distT="0" distB="0" distL="0" distR="0">
            <wp:extent cx="316230" cy="190500"/>
            <wp:effectExtent l="0" t="0" r="762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16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】页面侧边弹窗（如图</w:t>
      </w:r>
      <w:r>
        <w:t>11</w:t>
      </w:r>
      <w:r>
        <w:rPr>
          <w:rFonts w:hint="eastAsia"/>
        </w:rPr>
        <w:t>），根据提示输入库房名称、详细地址、联系人、联系电话、发票抬头、是否默认等信息，点击【</w:t>
      </w:r>
      <w:r>
        <w:drawing>
          <wp:inline distT="0" distB="0" distL="0" distR="0">
            <wp:extent cx="316230" cy="190500"/>
            <wp:effectExtent l="0" t="0" r="762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16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】即完成收货地址新增。</w:t>
      </w:r>
    </w:p>
    <w:p>
      <w:pPr>
        <w:keepNext/>
        <w:ind w:firstLine="480"/>
      </w:pPr>
      <w:r>
        <w:drawing>
          <wp:inline distT="0" distB="0" distL="0" distR="0">
            <wp:extent cx="4452620" cy="5399405"/>
            <wp:effectExtent l="0" t="0" r="508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4532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11</w:t>
      </w:r>
      <w:r>
        <w:fldChar w:fldCharType="end"/>
      </w:r>
    </w:p>
    <w:p>
      <w:pPr>
        <w:ind w:firstLine="480"/>
      </w:pPr>
      <w:r>
        <w:rPr>
          <w:rFonts w:hint="eastAsia"/>
        </w:rPr>
        <w:t>已新增的地址可进行“修改”，“删除”等操作。</w:t>
      </w: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新建采购计划</w:t>
      </w:r>
    </w:p>
    <w:p>
      <w:pPr>
        <w:ind w:firstLine="480"/>
      </w:pPr>
      <w:r>
        <w:rPr>
          <w:rFonts w:hint="eastAsia"/>
        </w:rPr>
        <w:t>点击“采购管理”菜单下</w:t>
      </w:r>
      <w:r>
        <w:drawing>
          <wp:inline distT="0" distB="0" distL="0" distR="0">
            <wp:extent cx="773430" cy="183515"/>
            <wp:effectExtent l="0" t="0" r="7620" b="698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774000" cy="1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进入新建采购计划单页面，选择计划单类型后点击【</w:t>
      </w:r>
      <w:r>
        <w:drawing>
          <wp:inline distT="0" distB="0" distL="0" distR="0">
            <wp:extent cx="543560" cy="201295"/>
            <wp:effectExtent l="0" t="0" r="0" b="825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3600" cy="2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】新建对应计划单（如图</w:t>
      </w:r>
      <w:r>
        <w:t>12</w:t>
      </w:r>
      <w:r>
        <w:rPr>
          <w:rFonts w:hint="eastAsia"/>
        </w:rPr>
        <w:t>）。</w:t>
      </w:r>
    </w:p>
    <w:p>
      <w:pPr>
        <w:ind w:firstLine="480"/>
        <w:rPr>
          <w:color w:val="FF0000"/>
        </w:rPr>
      </w:pPr>
      <w:r>
        <w:rPr>
          <w:rFonts w:hint="eastAsia"/>
          <w:color w:val="FF0000"/>
        </w:rPr>
        <w:t>注：备案订单仅能采购院内目录 — 备案采购目录清单内产品，短缺订单仅能采购短缺药。</w:t>
      </w:r>
    </w:p>
    <w:p>
      <w:pPr>
        <w:keepNext/>
        <w:ind w:firstLine="480"/>
      </w:pPr>
      <w:r>
        <w:drawing>
          <wp:inline distT="0" distB="0" distL="0" distR="0">
            <wp:extent cx="5274310" cy="2465070"/>
            <wp:effectExtent l="0" t="0" r="254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12</w:t>
      </w:r>
      <w:r>
        <w:fldChar w:fldCharType="end"/>
      </w:r>
    </w:p>
    <w:p>
      <w:pPr>
        <w:ind w:firstLine="480"/>
      </w:pPr>
      <w:r>
        <w:rPr>
          <w:rFonts w:hint="eastAsia"/>
        </w:rPr>
        <w:t>新建计划单后需维护计划单，点击【</w:t>
      </w:r>
      <w:r>
        <w:drawing>
          <wp:inline distT="0" distB="0" distL="0" distR="0">
            <wp:extent cx="449580" cy="183515"/>
            <wp:effectExtent l="0" t="0" r="7620" b="698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50000" cy="1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】按钮页面弹窗展示可添加产品列表，勾选产品后点击【</w:t>
      </w:r>
      <w:r>
        <w:drawing>
          <wp:inline distT="0" distB="0" distL="0" distR="0">
            <wp:extent cx="424180" cy="212090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24800" cy="2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】按钮即将对应产品添加至计划单内（如图</w:t>
      </w:r>
      <w:r>
        <w:t>13</w:t>
      </w:r>
      <w:r>
        <w:rPr>
          <w:rFonts w:hint="eastAsia"/>
        </w:rPr>
        <w:t>）。</w:t>
      </w:r>
    </w:p>
    <w:p>
      <w:pPr>
        <w:keepNext/>
        <w:ind w:firstLine="480"/>
      </w:pPr>
      <w:r>
        <w:drawing>
          <wp:inline distT="0" distB="0" distL="0" distR="0">
            <wp:extent cx="5274310" cy="2504440"/>
            <wp:effectExtent l="0" t="0" r="254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13</w:t>
      </w:r>
      <w:r>
        <w:fldChar w:fldCharType="end"/>
      </w:r>
    </w:p>
    <w:p>
      <w:pPr>
        <w:ind w:firstLine="480"/>
      </w:pPr>
      <w:r>
        <w:rPr>
          <w:rFonts w:hint="eastAsia"/>
        </w:rPr>
        <w:t>添加完成后仍需选择采购的具体规格型号，点击【</w:t>
      </w:r>
      <w:r>
        <w:drawing>
          <wp:inline distT="0" distB="0" distL="0" distR="0">
            <wp:extent cx="593725" cy="197485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" cy="1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】页面弹窗展示该产品下规格型号列表（如图</w:t>
      </w:r>
      <w:r>
        <w:t>14</w:t>
      </w:r>
      <w:r>
        <w:rPr>
          <w:rFonts w:hint="eastAsia"/>
        </w:rPr>
        <w:t>），点击【</w:t>
      </w:r>
      <w:r>
        <w:drawing>
          <wp:inline distT="0" distB="0" distL="0" distR="0">
            <wp:extent cx="374015" cy="205105"/>
            <wp:effectExtent l="0" t="0" r="6985" b="444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4400" cy="2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】选择具体规格型号。</w:t>
      </w:r>
    </w:p>
    <w:p>
      <w:pPr>
        <w:keepNext/>
        <w:ind w:firstLine="480"/>
      </w:pPr>
      <w:r>
        <w:drawing>
          <wp:inline distT="0" distB="0" distL="0" distR="0">
            <wp:extent cx="5274310" cy="3197225"/>
            <wp:effectExtent l="0" t="0" r="2540" b="317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9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  <w:rPr>
          <w:rFonts w:hint="eastAsia"/>
        </w:rPr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14</w:t>
      </w:r>
      <w:r>
        <w:fldChar w:fldCharType="end"/>
      </w:r>
    </w:p>
    <w:p>
      <w:pPr>
        <w:ind w:firstLine="480"/>
      </w:pPr>
      <w:r>
        <w:rPr>
          <w:rFonts w:hint="eastAsia"/>
        </w:rPr>
        <w:t>维护采购数量，根据提示输入采购数量后点击【</w:t>
      </w:r>
      <w:r>
        <w:drawing>
          <wp:inline distT="0" distB="0" distL="0" distR="0">
            <wp:extent cx="395605" cy="190500"/>
            <wp:effectExtent l="0" t="0" r="444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】对数据进行保存，药品全部添加完毕后点击【</w:t>
      </w:r>
      <w:r>
        <w:drawing>
          <wp:inline distT="0" distB="0" distL="0" distR="0">
            <wp:extent cx="453390" cy="212090"/>
            <wp:effectExtent l="0" t="0" r="381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53600" cy="2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】计划单即提交至院内审核（如图</w:t>
      </w:r>
      <w:r>
        <w:t>15</w:t>
      </w:r>
      <w:r>
        <w:rPr>
          <w:rFonts w:hint="eastAsia"/>
        </w:rPr>
        <w:t>），已提交未审核的计划单可以撤回修改后重新提交。</w:t>
      </w:r>
    </w:p>
    <w:p>
      <w:pPr>
        <w:keepNext/>
        <w:ind w:firstLine="480"/>
      </w:pPr>
      <w:r>
        <w:drawing>
          <wp:inline distT="0" distB="0" distL="0" distR="0">
            <wp:extent cx="5274310" cy="2472055"/>
            <wp:effectExtent l="0" t="0" r="2540" b="444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15</w:t>
      </w:r>
      <w:r>
        <w:fldChar w:fldCharType="end"/>
      </w:r>
    </w:p>
    <w:p>
      <w:pPr>
        <w:ind w:firstLine="480"/>
      </w:pP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采购计划审核</w:t>
      </w:r>
    </w:p>
    <w:p>
      <w:pPr>
        <w:ind w:firstLine="480"/>
      </w:pPr>
      <w:r>
        <w:rPr>
          <w:rFonts w:hint="eastAsia"/>
        </w:rPr>
        <w:t>点击“采购管理”内</w:t>
      </w:r>
      <w:r>
        <w:drawing>
          <wp:inline distT="0" distB="0" distL="0" distR="0">
            <wp:extent cx="600710" cy="190500"/>
            <wp:effectExtent l="0" t="0" r="889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012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进入采购计划审核页面，选择对应的计划点击【</w:t>
      </w:r>
      <w:r>
        <w:drawing>
          <wp:inline distT="0" distB="0" distL="0" distR="0">
            <wp:extent cx="478790" cy="19050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78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】按钮即可对计划进行审核（如图</w:t>
      </w:r>
      <w:r>
        <w:t>16</w:t>
      </w:r>
      <w:r>
        <w:rPr>
          <w:rFonts w:hint="eastAsia"/>
        </w:rPr>
        <w:t>）。</w:t>
      </w:r>
    </w:p>
    <w:p>
      <w:pPr>
        <w:keepNext/>
        <w:ind w:firstLine="480"/>
      </w:pPr>
      <w:r>
        <w:drawing>
          <wp:inline distT="0" distB="0" distL="0" distR="0">
            <wp:extent cx="5274310" cy="2472055"/>
            <wp:effectExtent l="0" t="0" r="2540" b="4445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16</w:t>
      </w:r>
      <w:r>
        <w:fldChar w:fldCharType="end"/>
      </w:r>
    </w:p>
    <w:p>
      <w:pPr>
        <w:ind w:firstLine="480"/>
      </w:pPr>
      <w:r>
        <w:rPr>
          <w:rFonts w:hint="eastAsia"/>
        </w:rPr>
        <w:t>审核人员根据实际情况对采购计划进行审核（如图</w:t>
      </w:r>
      <w:r>
        <w:t>17</w:t>
      </w:r>
      <w:r>
        <w:rPr>
          <w:rFonts w:hint="eastAsia"/>
        </w:rPr>
        <w:t>），审核通过并发送为直接生成采购订单即时发送至对应配送企业。</w:t>
      </w:r>
    </w:p>
    <w:p>
      <w:pPr>
        <w:keepNext/>
        <w:ind w:firstLine="480"/>
      </w:pPr>
      <w:r>
        <w:drawing>
          <wp:inline distT="0" distB="0" distL="0" distR="0">
            <wp:extent cx="5274310" cy="2470785"/>
            <wp:effectExtent l="0" t="0" r="2540" b="5715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17</w:t>
      </w:r>
      <w:r>
        <w:fldChar w:fldCharType="end"/>
      </w:r>
    </w:p>
    <w:p>
      <w:pPr>
        <w:pStyle w:val="4"/>
        <w:numPr>
          <w:ilvl w:val="1"/>
          <w:numId w:val="3"/>
        </w:numPr>
        <w:spacing w:before="156" w:after="156"/>
        <w:ind w:left="567"/>
      </w:pPr>
      <w:r>
        <w:rPr>
          <w:rFonts w:hint="eastAsia"/>
        </w:rPr>
        <w:t>收退货管理</w:t>
      </w: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入库管理</w:t>
      </w:r>
    </w:p>
    <w:p>
      <w:pPr>
        <w:ind w:firstLine="480"/>
      </w:pPr>
      <w:r>
        <w:rPr>
          <w:rFonts w:hint="eastAsia"/>
        </w:rPr>
        <w:t>点击“退货管理”菜单下</w:t>
      </w:r>
      <w:r>
        <w:drawing>
          <wp:inline distT="0" distB="0" distL="0" distR="0">
            <wp:extent cx="471170" cy="194310"/>
            <wp:effectExtent l="0" t="0" r="508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71600" cy="1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进入订单收货页面，页面展示待收货产品，选择对应产品，维护产品收货数量后根据实际情况选择【</w:t>
      </w:r>
      <w:r>
        <w:drawing>
          <wp:inline distT="0" distB="0" distL="0" distR="0">
            <wp:extent cx="316230" cy="190500"/>
            <wp:effectExtent l="0" t="0" r="762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16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】或【</w:t>
      </w:r>
      <w:r>
        <w:drawing>
          <wp:inline distT="0" distB="0" distL="0" distR="0">
            <wp:extent cx="316230" cy="190500"/>
            <wp:effectExtent l="0" t="0" r="762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16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】（如图</w:t>
      </w:r>
      <w:r>
        <w:t>18</w:t>
      </w:r>
      <w:r>
        <w:rPr>
          <w:rFonts w:hint="eastAsia"/>
        </w:rPr>
        <w:t>）。</w:t>
      </w:r>
    </w:p>
    <w:p>
      <w:pPr>
        <w:keepNext/>
        <w:ind w:firstLine="480"/>
      </w:pPr>
      <w:r>
        <w:drawing>
          <wp:inline distT="0" distB="0" distL="0" distR="0">
            <wp:extent cx="5274310" cy="2474595"/>
            <wp:effectExtent l="0" t="0" r="2540" b="1905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18</w:t>
      </w:r>
      <w:r>
        <w:fldChar w:fldCharType="end"/>
      </w: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退货管理</w:t>
      </w:r>
    </w:p>
    <w:p>
      <w:pPr>
        <w:ind w:firstLine="480"/>
      </w:pPr>
      <w:r>
        <w:rPr>
          <w:rFonts w:hint="eastAsia"/>
        </w:rPr>
        <w:t>点击“退货管理”菜单下</w:t>
      </w:r>
      <w:r>
        <w:drawing>
          <wp:inline distT="0" distB="0" distL="0" distR="0">
            <wp:extent cx="474980" cy="183515"/>
            <wp:effectExtent l="0" t="0" r="1270" b="698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75200" cy="18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进入退货管理页面，列表展示已收货产品清单，勾选需退货产品，维护退货数量即退货原因后点击【</w:t>
      </w:r>
      <w:r>
        <w:drawing>
          <wp:inline distT="0" distB="0" distL="0" distR="0">
            <wp:extent cx="434975" cy="194310"/>
            <wp:effectExtent l="0" t="0" r="3175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35600" cy="1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】按钮，即发起退货（如图</w:t>
      </w:r>
      <w:r>
        <w:t>19</w:t>
      </w:r>
      <w:r>
        <w:rPr>
          <w:rFonts w:hint="eastAsia"/>
        </w:rPr>
        <w:t>）。</w:t>
      </w:r>
    </w:p>
    <w:p>
      <w:pPr>
        <w:keepNext/>
        <w:ind w:firstLine="480"/>
      </w:pPr>
      <w:r>
        <w:drawing>
          <wp:inline distT="0" distB="0" distL="0" distR="0">
            <wp:extent cx="5274310" cy="2470785"/>
            <wp:effectExtent l="0" t="0" r="2540" b="571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firstLine="400"/>
      </w:pPr>
      <w:r>
        <w:t xml:space="preserve">图 </w:t>
      </w:r>
      <w:r>
        <w:fldChar w:fldCharType="begin"/>
      </w:r>
      <w:r>
        <w:instrText xml:space="preserve"> SEQ 图 \* ARABIC </w:instrText>
      </w:r>
      <w:r>
        <w:fldChar w:fldCharType="separate"/>
      </w:r>
      <w:r>
        <w:t>19</w:t>
      </w:r>
      <w:r>
        <w:fldChar w:fldCharType="end"/>
      </w:r>
    </w:p>
    <w:p>
      <w:pPr>
        <w:ind w:firstLine="480"/>
      </w:pPr>
      <w:r>
        <w:rPr>
          <w:rFonts w:hint="eastAsia"/>
        </w:rPr>
        <w:t>发起的退货需配送企业确认后方可生效，已发起未确认的退货订单也可主动撤销退货。</w:t>
      </w:r>
    </w:p>
    <w:p>
      <w:pPr>
        <w:pStyle w:val="5"/>
        <w:numPr>
          <w:ilvl w:val="2"/>
          <w:numId w:val="3"/>
        </w:numPr>
        <w:spacing w:before="156" w:after="156"/>
        <w:ind w:left="482" w:hanging="482"/>
      </w:pPr>
      <w:r>
        <w:rPr>
          <w:rFonts w:hint="eastAsia"/>
        </w:rPr>
        <w:t>验收单打印</w:t>
      </w:r>
    </w:p>
    <w:p>
      <w:pPr>
        <w:ind w:firstLine="480"/>
      </w:pPr>
      <w:r>
        <w:rPr>
          <w:rFonts w:hint="eastAsia"/>
        </w:rPr>
        <w:t>系统按照单次收货清单自动生成验收单，验收单可快速打印，便于医疗机构对收货清单进行归纳收档。</w:t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汉仪中等线KW">
    <w:panose1 w:val="01010104010101010101"/>
    <w:charset w:val="86"/>
    <w:family w:val="auto"/>
    <w:pitch w:val="default"/>
    <w:sig w:usb0="00000000" w:usb1="00000000" w:usb2="00000000" w:usb3="00000000" w:csb0="00160000" w:csb1="00000000"/>
  </w:font>
  <w:font w:name="等线">
    <w:altName w:val="汉仪中等线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汉仪中黑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等线 Light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PingFang SC">
    <w:panose1 w:val="020B0400000000000000"/>
    <w:charset w:val="86"/>
    <w:family w:val="auto"/>
    <w:pitch w:val="default"/>
    <w:sig w:usb0="00000000" w:usb1="00000000" w:usb2="00000000" w:usb3="00000000" w:csb0="00160000" w:csb1="00000000"/>
  </w:font>
  <w:font w:name="Tahoma">
    <w:panose1 w:val="020B0604030504040204"/>
    <w:charset w:val="00"/>
    <w:family w:val="auto"/>
    <w:pitch w:val="default"/>
    <w:sig w:usb0="00000000" w:usb1="00000000" w:usb2="00000000" w:usb3="00000000" w:csb0="0000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AA919EF"/>
    <w:multiLevelType w:val="multilevel"/>
    <w:tmpl w:val="0AA919EF"/>
    <w:lvl w:ilvl="0" w:tentative="0">
      <w:start w:val="1"/>
      <w:numFmt w:val="decimal"/>
      <w:lvlText w:val="%1"/>
      <w:lvlJc w:val="left"/>
      <w:pPr>
        <w:ind w:left="425" w:hanging="425"/>
      </w:pPr>
    </w:lvl>
    <w:lvl w:ilvl="1" w:tentative="0">
      <w:start w:val="1"/>
      <w:numFmt w:val="decimal"/>
      <w:lvlText w:val="%1.%2"/>
      <w:lvlJc w:val="left"/>
      <w:pPr>
        <w:ind w:left="992" w:hanging="567"/>
      </w:pPr>
    </w:lvl>
    <w:lvl w:ilvl="2" w:tentative="0">
      <w:start w:val="1"/>
      <w:numFmt w:val="decimal"/>
      <w:lvlText w:val="%1.%2.%3"/>
      <w:lvlJc w:val="left"/>
      <w:pPr>
        <w:ind w:left="1418" w:hanging="567"/>
      </w:pPr>
    </w:lvl>
    <w:lvl w:ilvl="3" w:tentative="0">
      <w:start w:val="1"/>
      <w:numFmt w:val="decimal"/>
      <w:lvlText w:val="%1.%2.%3.%4"/>
      <w:lvlJc w:val="left"/>
      <w:pPr>
        <w:ind w:left="1984" w:hanging="708"/>
      </w:pPr>
    </w:lvl>
    <w:lvl w:ilvl="4" w:tentative="0">
      <w:start w:val="1"/>
      <w:numFmt w:val="decimal"/>
      <w:lvlText w:val="%1.%2.%3.%4.%5"/>
      <w:lvlJc w:val="left"/>
      <w:pPr>
        <w:ind w:left="2551" w:hanging="850"/>
      </w:pPr>
    </w:lvl>
    <w:lvl w:ilvl="5" w:tentative="0">
      <w:start w:val="1"/>
      <w:numFmt w:val="decimal"/>
      <w:lvlText w:val="%1.%2.%3.%4.%5.%6"/>
      <w:lvlJc w:val="left"/>
      <w:pPr>
        <w:ind w:left="3260" w:hanging="1134"/>
      </w:pPr>
    </w:lvl>
    <w:lvl w:ilvl="6" w:tentative="0">
      <w:start w:val="1"/>
      <w:numFmt w:val="decimal"/>
      <w:lvlText w:val="%1.%2.%3.%4.%5.%6.%7"/>
      <w:lvlJc w:val="left"/>
      <w:pPr>
        <w:ind w:left="3827" w:hanging="1276"/>
      </w:pPr>
    </w:lvl>
    <w:lvl w:ilvl="7" w:tentative="0">
      <w:start w:val="1"/>
      <w:numFmt w:val="decimal"/>
      <w:lvlText w:val="%1.%2.%3.%4.%5.%6.%7.%8"/>
      <w:lvlJc w:val="left"/>
      <w:pPr>
        <w:ind w:left="4394" w:hanging="1418"/>
      </w:p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">
    <w:nsid w:val="1B0D03C2"/>
    <w:multiLevelType w:val="multilevel"/>
    <w:tmpl w:val="1B0D03C2"/>
    <w:lvl w:ilvl="0" w:tentative="0">
      <w:start w:val="1"/>
      <w:numFmt w:val="decimal"/>
      <w:lvlText w:val="%1"/>
      <w:lvlJc w:val="left"/>
      <w:pPr>
        <w:ind w:left="425" w:hanging="425"/>
      </w:pPr>
    </w:lvl>
    <w:lvl w:ilvl="1" w:tentative="0">
      <w:start w:val="1"/>
      <w:numFmt w:val="decimal"/>
      <w:lvlText w:val="%1.%2"/>
      <w:lvlJc w:val="left"/>
      <w:pPr>
        <w:ind w:left="992" w:hanging="567"/>
      </w:pPr>
    </w:lvl>
    <w:lvl w:ilvl="2" w:tentative="0">
      <w:start w:val="1"/>
      <w:numFmt w:val="decimal"/>
      <w:lvlText w:val="%1.%2.%3"/>
      <w:lvlJc w:val="left"/>
      <w:pPr>
        <w:ind w:left="1418" w:hanging="567"/>
      </w:pPr>
    </w:lvl>
    <w:lvl w:ilvl="3" w:tentative="0">
      <w:start w:val="1"/>
      <w:numFmt w:val="decimal"/>
      <w:lvlText w:val="%1.%2.%3.%4"/>
      <w:lvlJc w:val="left"/>
      <w:pPr>
        <w:ind w:left="1984" w:hanging="708"/>
      </w:pPr>
    </w:lvl>
    <w:lvl w:ilvl="4" w:tentative="0">
      <w:start w:val="1"/>
      <w:numFmt w:val="decimal"/>
      <w:lvlText w:val="%1.%2.%3.%4.%5"/>
      <w:lvlJc w:val="left"/>
      <w:pPr>
        <w:ind w:left="2551" w:hanging="850"/>
      </w:pPr>
    </w:lvl>
    <w:lvl w:ilvl="5" w:tentative="0">
      <w:start w:val="1"/>
      <w:numFmt w:val="decimal"/>
      <w:lvlText w:val="%1.%2.%3.%4.%5.%6"/>
      <w:lvlJc w:val="left"/>
      <w:pPr>
        <w:ind w:left="3260" w:hanging="1134"/>
      </w:pPr>
    </w:lvl>
    <w:lvl w:ilvl="6" w:tentative="0">
      <w:start w:val="1"/>
      <w:numFmt w:val="decimal"/>
      <w:lvlText w:val="%1.%2.%3.%4.%5.%6.%7"/>
      <w:lvlJc w:val="left"/>
      <w:pPr>
        <w:ind w:left="3827" w:hanging="1276"/>
      </w:pPr>
    </w:lvl>
    <w:lvl w:ilvl="7" w:tentative="0">
      <w:start w:val="1"/>
      <w:numFmt w:val="decimal"/>
      <w:lvlText w:val="%1.%2.%3.%4.%5.%6.%7.%8"/>
      <w:lvlJc w:val="left"/>
      <w:pPr>
        <w:ind w:left="4394" w:hanging="1418"/>
      </w:p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">
    <w:nsid w:val="4D32328E"/>
    <w:multiLevelType w:val="multilevel"/>
    <w:tmpl w:val="4D32328E"/>
    <w:lvl w:ilvl="0" w:tentative="0">
      <w:start w:val="1"/>
      <w:numFmt w:val="chineseCountingThousand"/>
      <w:pStyle w:val="2"/>
      <w:lvlText w:val="%1、"/>
      <w:lvlJc w:val="left"/>
      <w:pPr>
        <w:ind w:left="420" w:hanging="420"/>
      </w:pPr>
    </w:lvl>
    <w:lvl w:ilvl="1" w:tentative="0">
      <w:start w:val="1"/>
      <w:numFmt w:val="decimal"/>
      <w:lvlText w:val="%2、"/>
      <w:lvlJc w:val="left"/>
      <w:pPr>
        <w:ind w:left="1140" w:hanging="72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4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10BC"/>
    <w:rsid w:val="00003C78"/>
    <w:rsid w:val="00050B5E"/>
    <w:rsid w:val="00051056"/>
    <w:rsid w:val="000733FB"/>
    <w:rsid w:val="00075448"/>
    <w:rsid w:val="00126BC6"/>
    <w:rsid w:val="00141A68"/>
    <w:rsid w:val="0017050B"/>
    <w:rsid w:val="00183449"/>
    <w:rsid w:val="001E084B"/>
    <w:rsid w:val="00221EFE"/>
    <w:rsid w:val="00222C80"/>
    <w:rsid w:val="00242547"/>
    <w:rsid w:val="00265FFF"/>
    <w:rsid w:val="002A2BFA"/>
    <w:rsid w:val="002E2AB7"/>
    <w:rsid w:val="00300BC9"/>
    <w:rsid w:val="00327AC4"/>
    <w:rsid w:val="00333B6D"/>
    <w:rsid w:val="00333EC0"/>
    <w:rsid w:val="003A09D5"/>
    <w:rsid w:val="00405EBB"/>
    <w:rsid w:val="00452BD9"/>
    <w:rsid w:val="00460D33"/>
    <w:rsid w:val="00485054"/>
    <w:rsid w:val="0049685C"/>
    <w:rsid w:val="004A7B2A"/>
    <w:rsid w:val="004C5DD0"/>
    <w:rsid w:val="00564116"/>
    <w:rsid w:val="00582318"/>
    <w:rsid w:val="006647D5"/>
    <w:rsid w:val="00691E73"/>
    <w:rsid w:val="006B6DA7"/>
    <w:rsid w:val="006C144B"/>
    <w:rsid w:val="007A4FD5"/>
    <w:rsid w:val="007E236F"/>
    <w:rsid w:val="00867A5F"/>
    <w:rsid w:val="008A7C48"/>
    <w:rsid w:val="008F42E0"/>
    <w:rsid w:val="00944F1B"/>
    <w:rsid w:val="0098775E"/>
    <w:rsid w:val="0098797A"/>
    <w:rsid w:val="0099527E"/>
    <w:rsid w:val="009967DC"/>
    <w:rsid w:val="009D77AE"/>
    <w:rsid w:val="00A261B4"/>
    <w:rsid w:val="00A46DC7"/>
    <w:rsid w:val="00A9558E"/>
    <w:rsid w:val="00AB10BC"/>
    <w:rsid w:val="00AB5DB8"/>
    <w:rsid w:val="00AE689F"/>
    <w:rsid w:val="00AF51F9"/>
    <w:rsid w:val="00B35006"/>
    <w:rsid w:val="00B673D7"/>
    <w:rsid w:val="00BF25D8"/>
    <w:rsid w:val="00C11594"/>
    <w:rsid w:val="00C348B9"/>
    <w:rsid w:val="00C53553"/>
    <w:rsid w:val="00C94FA0"/>
    <w:rsid w:val="00CA1172"/>
    <w:rsid w:val="00D43305"/>
    <w:rsid w:val="00D44E23"/>
    <w:rsid w:val="00D617F1"/>
    <w:rsid w:val="00DD48AC"/>
    <w:rsid w:val="00DE443D"/>
    <w:rsid w:val="00DF0DF6"/>
    <w:rsid w:val="00DF6E17"/>
    <w:rsid w:val="00E40D48"/>
    <w:rsid w:val="00E65A8E"/>
    <w:rsid w:val="00EB5FF7"/>
    <w:rsid w:val="00ED4795"/>
    <w:rsid w:val="00EE6CBB"/>
    <w:rsid w:val="00EF3605"/>
    <w:rsid w:val="00F1074A"/>
    <w:rsid w:val="00F355C6"/>
    <w:rsid w:val="00F364DF"/>
    <w:rsid w:val="00F472D7"/>
    <w:rsid w:val="00F516FA"/>
    <w:rsid w:val="00F557AE"/>
    <w:rsid w:val="00FC0DEF"/>
    <w:rsid w:val="00FF4FB5"/>
    <w:rsid w:val="5AF71D91"/>
    <w:rsid w:val="F73F007F"/>
    <w:rsid w:val="FFEE0C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  <w:jc w:val="both"/>
    </w:pPr>
    <w:rPr>
      <w:rFonts w:eastAsia="宋体" w:asciiTheme="minorHAnsi" w:hAnsiTheme="minorHAnsi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3"/>
    <w:next w:val="1"/>
    <w:link w:val="20"/>
    <w:qFormat/>
    <w:uiPriority w:val="9"/>
    <w:pPr>
      <w:keepNext/>
      <w:keepLines/>
      <w:numPr>
        <w:ilvl w:val="0"/>
        <w:numId w:val="1"/>
      </w:numPr>
      <w:spacing w:before="100" w:beforeLines="100" w:afterLines="0"/>
      <w:ind w:left="200" w:hanging="200" w:hangingChars="200"/>
      <w:outlineLvl w:val="0"/>
    </w:pPr>
    <w:rPr>
      <w:b/>
      <w:bCs/>
      <w:kern w:val="44"/>
      <w:sz w:val="28"/>
      <w:szCs w:val="44"/>
    </w:rPr>
  </w:style>
  <w:style w:type="paragraph" w:styleId="4">
    <w:name w:val="heading 2"/>
    <w:basedOn w:val="3"/>
    <w:next w:val="1"/>
    <w:link w:val="23"/>
    <w:unhideWhenUsed/>
    <w:qFormat/>
    <w:uiPriority w:val="9"/>
    <w:pPr>
      <w:keepNext/>
      <w:keepLines/>
      <w:spacing w:before="50" w:after="50" w:line="415" w:lineRule="auto"/>
      <w:ind w:firstLine="0" w:firstLineChars="0"/>
      <w:outlineLvl w:val="1"/>
    </w:pPr>
    <w:rPr>
      <w:rFonts w:ascii="宋体" w:hAnsi="宋体" w:cstheme="majorBidi"/>
      <w:b/>
      <w:bCs/>
      <w:sz w:val="28"/>
      <w:szCs w:val="32"/>
    </w:rPr>
  </w:style>
  <w:style w:type="paragraph" w:styleId="5">
    <w:name w:val="heading 3"/>
    <w:basedOn w:val="3"/>
    <w:next w:val="1"/>
    <w:link w:val="24"/>
    <w:unhideWhenUsed/>
    <w:qFormat/>
    <w:uiPriority w:val="9"/>
    <w:pPr>
      <w:keepNext/>
      <w:keepLines/>
      <w:spacing w:before="50" w:after="50" w:line="720" w:lineRule="auto"/>
      <w:ind w:firstLine="0" w:firstLineChars="0"/>
      <w:outlineLvl w:val="2"/>
    </w:pPr>
    <w:rPr>
      <w:b/>
      <w:bCs/>
      <w:szCs w:val="32"/>
    </w:rPr>
  </w:style>
  <w:style w:type="paragraph" w:styleId="6">
    <w:name w:val="heading 4"/>
    <w:basedOn w:val="1"/>
    <w:next w:val="1"/>
    <w:link w:val="25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 Spacing"/>
    <w:qFormat/>
    <w:uiPriority w:val="1"/>
    <w:pPr>
      <w:widowControl w:val="0"/>
      <w:spacing w:beforeLines="50" w:afterLines="50"/>
      <w:ind w:firstLine="200" w:firstLineChars="200"/>
      <w:jc w:val="both"/>
    </w:pPr>
    <w:rPr>
      <w:rFonts w:eastAsia="宋体" w:asciiTheme="minorHAnsi" w:hAnsiTheme="minorHAnsi" w:cstheme="minorBidi"/>
      <w:kern w:val="2"/>
      <w:sz w:val="24"/>
      <w:szCs w:val="22"/>
      <w:lang w:val="en-US" w:eastAsia="zh-CN" w:bidi="ar-SA"/>
    </w:rPr>
  </w:style>
  <w:style w:type="paragraph" w:styleId="7">
    <w:name w:val="caption"/>
    <w:basedOn w:val="1"/>
    <w:next w:val="1"/>
    <w:unhideWhenUsed/>
    <w:qFormat/>
    <w:uiPriority w:val="35"/>
    <w:pPr>
      <w:jc w:val="center"/>
    </w:pPr>
    <w:rPr>
      <w:rFonts w:eastAsia="黑体" w:asciiTheme="majorHAnsi" w:hAnsiTheme="majorHAnsi" w:cstheme="majorBidi"/>
      <w:sz w:val="20"/>
      <w:szCs w:val="20"/>
    </w:rPr>
  </w:style>
  <w:style w:type="paragraph" w:styleId="8">
    <w:name w:val="Date"/>
    <w:basedOn w:val="1"/>
    <w:next w:val="1"/>
    <w:link w:val="18"/>
    <w:semiHidden/>
    <w:unhideWhenUsed/>
    <w:qFormat/>
    <w:uiPriority w:val="99"/>
    <w:pPr>
      <w:ind w:left="100" w:leftChars="2500"/>
    </w:pPr>
  </w:style>
  <w:style w:type="paragraph" w:styleId="9">
    <w:name w:val="footer"/>
    <w:basedOn w:val="1"/>
    <w:link w:val="27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10">
    <w:name w:val="header"/>
    <w:basedOn w:val="1"/>
    <w:link w:val="2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1">
    <w:name w:val="Subtitle"/>
    <w:basedOn w:val="1"/>
    <w:next w:val="1"/>
    <w:link w:val="17"/>
    <w:qFormat/>
    <w:uiPriority w:val="11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paragraph" w:styleId="12">
    <w:name w:val="Title"/>
    <w:basedOn w:val="1"/>
    <w:next w:val="1"/>
    <w:link w:val="16"/>
    <w:qFormat/>
    <w:uiPriority w:val="10"/>
    <w:pPr>
      <w:spacing w:before="240" w:after="60"/>
      <w:jc w:val="center"/>
      <w:outlineLvl w:val="0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styleId="15">
    <w:name w:val="Hyperlink"/>
    <w:basedOn w:val="14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6">
    <w:name w:val="标题 字符"/>
    <w:basedOn w:val="14"/>
    <w:link w:val="12"/>
    <w:qFormat/>
    <w:uiPriority w:val="10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7">
    <w:name w:val="副标题 字符"/>
    <w:basedOn w:val="14"/>
    <w:link w:val="11"/>
    <w:qFormat/>
    <w:uiPriority w:val="11"/>
    <w:rPr>
      <w:b/>
      <w:bCs/>
      <w:kern w:val="28"/>
      <w:sz w:val="32"/>
      <w:szCs w:val="32"/>
    </w:rPr>
  </w:style>
  <w:style w:type="character" w:customStyle="1" w:styleId="18">
    <w:name w:val="日期 字符"/>
    <w:basedOn w:val="14"/>
    <w:link w:val="8"/>
    <w:semiHidden/>
    <w:qFormat/>
    <w:uiPriority w:val="99"/>
  </w:style>
  <w:style w:type="paragraph" w:customStyle="1" w:styleId="19">
    <w:name w:val="标题 1 + 两端对齐"/>
    <w:basedOn w:val="2"/>
    <w:qFormat/>
    <w:uiPriority w:val="0"/>
    <w:pPr>
      <w:widowControl/>
      <w:spacing w:line="576" w:lineRule="auto"/>
    </w:pPr>
    <w:rPr>
      <w:rFonts w:ascii="Times New Roman" w:hAnsi="Times New Roman" w:cs="Times New Roman"/>
      <w:b w:val="0"/>
      <w:bCs w:val="0"/>
      <w:szCs w:val="20"/>
    </w:rPr>
  </w:style>
  <w:style w:type="character" w:customStyle="1" w:styleId="20">
    <w:name w:val="标题 1 字符"/>
    <w:basedOn w:val="14"/>
    <w:link w:val="2"/>
    <w:qFormat/>
    <w:uiPriority w:val="9"/>
    <w:rPr>
      <w:rFonts w:eastAsia="宋体"/>
      <w:b/>
      <w:bCs/>
      <w:kern w:val="44"/>
      <w:sz w:val="28"/>
      <w:szCs w:val="44"/>
    </w:rPr>
  </w:style>
  <w:style w:type="paragraph" w:styleId="21">
    <w:name w:val="List Paragraph"/>
    <w:basedOn w:val="1"/>
    <w:qFormat/>
    <w:uiPriority w:val="34"/>
    <w:pPr>
      <w:ind w:firstLine="420"/>
    </w:pPr>
  </w:style>
  <w:style w:type="character" w:customStyle="1" w:styleId="22">
    <w:name w:val="Unresolved Mention"/>
    <w:basedOn w:val="14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23">
    <w:name w:val="标题 2 字符"/>
    <w:basedOn w:val="14"/>
    <w:link w:val="4"/>
    <w:qFormat/>
    <w:uiPriority w:val="9"/>
    <w:rPr>
      <w:rFonts w:ascii="宋体" w:hAnsi="宋体" w:eastAsia="宋体" w:cstheme="majorBidi"/>
      <w:b/>
      <w:bCs/>
      <w:sz w:val="28"/>
      <w:szCs w:val="32"/>
    </w:rPr>
  </w:style>
  <w:style w:type="character" w:customStyle="1" w:styleId="24">
    <w:name w:val="标题 3 字符"/>
    <w:basedOn w:val="14"/>
    <w:link w:val="5"/>
    <w:qFormat/>
    <w:uiPriority w:val="9"/>
    <w:rPr>
      <w:rFonts w:eastAsia="宋体"/>
      <w:b/>
      <w:bCs/>
      <w:sz w:val="24"/>
      <w:szCs w:val="32"/>
    </w:rPr>
  </w:style>
  <w:style w:type="character" w:customStyle="1" w:styleId="25">
    <w:name w:val="标题 4 字符"/>
    <w:basedOn w:val="14"/>
    <w:link w:val="6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6">
    <w:name w:val="页眉 字符"/>
    <w:basedOn w:val="14"/>
    <w:link w:val="10"/>
    <w:qFormat/>
    <w:uiPriority w:val="99"/>
    <w:rPr>
      <w:rFonts w:eastAsia="宋体"/>
      <w:sz w:val="18"/>
      <w:szCs w:val="18"/>
    </w:rPr>
  </w:style>
  <w:style w:type="character" w:customStyle="1" w:styleId="27">
    <w:name w:val="页脚 字符"/>
    <w:basedOn w:val="14"/>
    <w:link w:val="9"/>
    <w:qFormat/>
    <w:uiPriority w:val="99"/>
    <w:rPr>
      <w:rFonts w:eastAsia="宋体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1" Type="http://schemas.openxmlformats.org/officeDocument/2006/relationships/fontTable" Target="fontTable.xml"/><Relationship Id="rId70" Type="http://schemas.openxmlformats.org/officeDocument/2006/relationships/numbering" Target="numbering.xml"/><Relationship Id="rId7" Type="http://schemas.openxmlformats.org/officeDocument/2006/relationships/header" Target="header3.xml"/><Relationship Id="rId69" Type="http://schemas.openxmlformats.org/officeDocument/2006/relationships/customXml" Target="../customXml/item1.xml"/><Relationship Id="rId68" Type="http://schemas.openxmlformats.org/officeDocument/2006/relationships/image" Target="media/image57.png"/><Relationship Id="rId67" Type="http://schemas.openxmlformats.org/officeDocument/2006/relationships/image" Target="media/image56.png"/><Relationship Id="rId66" Type="http://schemas.openxmlformats.org/officeDocument/2006/relationships/image" Target="media/image55.png"/><Relationship Id="rId65" Type="http://schemas.openxmlformats.org/officeDocument/2006/relationships/image" Target="media/image54.png"/><Relationship Id="rId64" Type="http://schemas.openxmlformats.org/officeDocument/2006/relationships/image" Target="media/image53.png"/><Relationship Id="rId63" Type="http://schemas.openxmlformats.org/officeDocument/2006/relationships/image" Target="media/image52.png"/><Relationship Id="rId62" Type="http://schemas.openxmlformats.org/officeDocument/2006/relationships/image" Target="media/image51.png"/><Relationship Id="rId61" Type="http://schemas.openxmlformats.org/officeDocument/2006/relationships/image" Target="media/image50.png"/><Relationship Id="rId60" Type="http://schemas.openxmlformats.org/officeDocument/2006/relationships/image" Target="media/image49.png"/><Relationship Id="rId6" Type="http://schemas.openxmlformats.org/officeDocument/2006/relationships/header" Target="header2.xml"/><Relationship Id="rId59" Type="http://schemas.openxmlformats.org/officeDocument/2006/relationships/image" Target="media/image48.png"/><Relationship Id="rId58" Type="http://schemas.openxmlformats.org/officeDocument/2006/relationships/image" Target="media/image47.png"/><Relationship Id="rId57" Type="http://schemas.openxmlformats.org/officeDocument/2006/relationships/image" Target="media/image46.png"/><Relationship Id="rId56" Type="http://schemas.openxmlformats.org/officeDocument/2006/relationships/image" Target="media/image45.png"/><Relationship Id="rId55" Type="http://schemas.openxmlformats.org/officeDocument/2006/relationships/image" Target="media/image44.png"/><Relationship Id="rId54" Type="http://schemas.openxmlformats.org/officeDocument/2006/relationships/image" Target="media/image43.png"/><Relationship Id="rId53" Type="http://schemas.openxmlformats.org/officeDocument/2006/relationships/image" Target="media/image42.png"/><Relationship Id="rId52" Type="http://schemas.openxmlformats.org/officeDocument/2006/relationships/image" Target="media/image41.png"/><Relationship Id="rId51" Type="http://schemas.openxmlformats.org/officeDocument/2006/relationships/image" Target="media/image40.png"/><Relationship Id="rId50" Type="http://schemas.openxmlformats.org/officeDocument/2006/relationships/image" Target="media/image39.png"/><Relationship Id="rId5" Type="http://schemas.openxmlformats.org/officeDocument/2006/relationships/header" Target="header1.xml"/><Relationship Id="rId49" Type="http://schemas.openxmlformats.org/officeDocument/2006/relationships/image" Target="media/image38.png"/><Relationship Id="rId48" Type="http://schemas.openxmlformats.org/officeDocument/2006/relationships/image" Target="media/image37.png"/><Relationship Id="rId47" Type="http://schemas.openxmlformats.org/officeDocument/2006/relationships/image" Target="media/image36.png"/><Relationship Id="rId46" Type="http://schemas.openxmlformats.org/officeDocument/2006/relationships/image" Target="media/image35.png"/><Relationship Id="rId45" Type="http://schemas.openxmlformats.org/officeDocument/2006/relationships/image" Target="media/image34.png"/><Relationship Id="rId44" Type="http://schemas.openxmlformats.org/officeDocument/2006/relationships/image" Target="media/image33.png"/><Relationship Id="rId43" Type="http://schemas.openxmlformats.org/officeDocument/2006/relationships/image" Target="media/image32.png"/><Relationship Id="rId42" Type="http://schemas.openxmlformats.org/officeDocument/2006/relationships/image" Target="media/image31.png"/><Relationship Id="rId41" Type="http://schemas.openxmlformats.org/officeDocument/2006/relationships/image" Target="media/image30.png"/><Relationship Id="rId40" Type="http://schemas.openxmlformats.org/officeDocument/2006/relationships/image" Target="media/image29.png"/><Relationship Id="rId4" Type="http://schemas.openxmlformats.org/officeDocument/2006/relationships/endnotes" Target="endnotes.xml"/><Relationship Id="rId39" Type="http://schemas.openxmlformats.org/officeDocument/2006/relationships/image" Target="media/image28.png"/><Relationship Id="rId38" Type="http://schemas.openxmlformats.org/officeDocument/2006/relationships/image" Target="media/image27.png"/><Relationship Id="rId37" Type="http://schemas.openxmlformats.org/officeDocument/2006/relationships/image" Target="media/image26.png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footnotes" Target="footnotes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445</Words>
  <Characters>2543</Characters>
  <Lines>21</Lines>
  <Paragraphs>5</Paragraphs>
  <TotalTime>546</TotalTime>
  <ScaleCrop>false</ScaleCrop>
  <LinksUpToDate>false</LinksUpToDate>
  <CharactersWithSpaces>2983</CharactersWithSpaces>
  <Application>WPS Office_3.9.4.6407_F1E327BC-269C-435d-A152-05C5408002CA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2022-04-27T22:20:00Z</dcterms:created>
  <dc:creator>王 昌勤</dc:creator>
  <cp:lastModifiedBy>小马</cp:lastModifiedBy>
  <dcterms:modified xsi:type="dcterms:W3CDTF">2022-06-29T17:27:25Z</dcterms:modified>
  <cp:revision>25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2052-3.9.4.6407</vt:lpwstr>
  </property>
  <property fmtid="{D5CDD505-2E9C-101B-9397-08002B2CF9AE}" pid="3" name="ICV">
    <vt:lpwstr>FABF38FAC2394E9AA0B43C5C0CC5346B</vt:lpwstr>
  </property>
</Properties>
</file>