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F9E0F">
      <w:pPr>
        <w:spacing w:line="800" w:lineRule="exact"/>
        <w:jc w:val="center"/>
        <w:outlineLvl w:val="0"/>
        <w:rPr>
          <w:rFonts w:hint="eastAsia" w:ascii="方正小标宋简体" w:hAnsi="方正小标宋简体" w:eastAsia="方正小标宋简体" w:cs="方正小标宋简体"/>
          <w:bCs/>
          <w:spacing w:val="-6"/>
          <w:kern w:val="0"/>
          <w:sz w:val="48"/>
          <w:szCs w:val="48"/>
          <w:lang w:eastAsia="zh-CN"/>
        </w:rPr>
      </w:pPr>
      <w:bookmarkStart w:id="0" w:name="_Toc19717"/>
      <w:r>
        <w:rPr>
          <w:rFonts w:hint="eastAsia" w:ascii="方正小标宋简体" w:hAnsi="方正小标宋简体" w:eastAsia="方正小标宋简体" w:cs="方正小标宋简体"/>
          <w:bCs/>
          <w:spacing w:val="-6"/>
          <w:kern w:val="0"/>
          <w:sz w:val="48"/>
          <w:szCs w:val="48"/>
        </w:rPr>
        <w:t>省际联盟心脏起搏器</w:t>
      </w:r>
      <w:bookmarkStart w:id="1" w:name="_Toc16591"/>
      <w:bookmarkStart w:id="2" w:name="_Toc29542"/>
      <w:r>
        <w:rPr>
          <w:rFonts w:hint="eastAsia" w:ascii="方正小标宋简体" w:hAnsi="方正小标宋简体" w:eastAsia="方正小标宋简体" w:cs="方正小标宋简体"/>
          <w:bCs/>
          <w:spacing w:val="-6"/>
          <w:kern w:val="0"/>
          <w:sz w:val="48"/>
          <w:szCs w:val="48"/>
          <w:lang w:val="en-US" w:eastAsia="zh-CN"/>
        </w:rPr>
        <w:t>协议期满接续</w:t>
      </w:r>
      <w:bookmarkEnd w:id="1"/>
      <w:bookmarkEnd w:id="2"/>
      <w:r>
        <w:rPr>
          <w:rFonts w:hint="eastAsia" w:ascii="方正小标宋简体" w:hAnsi="方正小标宋简体" w:eastAsia="方正小标宋简体" w:cs="方正小标宋简体"/>
          <w:bCs/>
          <w:spacing w:val="-6"/>
          <w:kern w:val="0"/>
          <w:sz w:val="48"/>
          <w:szCs w:val="48"/>
        </w:rPr>
        <w:t>集中带量</w:t>
      </w:r>
      <w:r>
        <w:rPr>
          <w:rFonts w:hint="eastAsia" w:ascii="方正小标宋简体" w:hAnsi="方正小标宋简体" w:eastAsia="方正小标宋简体" w:cs="方正小标宋简体"/>
          <w:bCs/>
          <w:spacing w:val="-6"/>
          <w:kern w:val="0"/>
          <w:sz w:val="48"/>
          <w:szCs w:val="48"/>
          <w:lang w:eastAsia="zh-CN"/>
        </w:rPr>
        <w:t>采购</w:t>
      </w:r>
      <w:bookmarkStart w:id="3" w:name="_Toc19955"/>
      <w:bookmarkStart w:id="4" w:name="_Toc14766"/>
      <w:r>
        <w:rPr>
          <w:rFonts w:hint="eastAsia" w:ascii="方正小标宋简体" w:hAnsi="方正小标宋简体" w:eastAsia="方正小标宋简体" w:cs="方正小标宋简体"/>
          <w:bCs/>
          <w:spacing w:val="-6"/>
          <w:kern w:val="0"/>
          <w:sz w:val="48"/>
          <w:szCs w:val="48"/>
        </w:rPr>
        <w:t>文件</w:t>
      </w:r>
      <w:bookmarkEnd w:id="0"/>
      <w:bookmarkEnd w:id="3"/>
      <w:bookmarkEnd w:id="4"/>
      <w:bookmarkStart w:id="64" w:name="_GoBack"/>
      <w:bookmarkEnd w:id="64"/>
    </w:p>
    <w:p w14:paraId="355A7B65">
      <w:pPr>
        <w:spacing w:line="800" w:lineRule="exact"/>
        <w:jc w:val="center"/>
        <w:rPr>
          <w:rFonts w:hint="eastAsia" w:ascii="方正小标宋简体" w:hAnsi="方正小标宋简体" w:eastAsia="方正小标宋简体" w:cs="方正小标宋简体"/>
          <w:bCs/>
          <w:spacing w:val="-6"/>
          <w:kern w:val="0"/>
          <w:sz w:val="48"/>
          <w:szCs w:val="48"/>
        </w:rPr>
      </w:pPr>
    </w:p>
    <w:p w14:paraId="2A1436B2">
      <w:pPr>
        <w:jc w:val="center"/>
        <w:rPr>
          <w:rFonts w:ascii="黑体" w:hAnsi="黑体" w:eastAsia="黑体" w:cs="黑体"/>
          <w:sz w:val="32"/>
          <w:szCs w:val="32"/>
        </w:rPr>
      </w:pPr>
      <w:r>
        <w:rPr>
          <w:rFonts w:hint="eastAsia" w:ascii="黑体" w:hAnsi="黑体" w:eastAsia="黑体" w:cs="黑体"/>
          <w:sz w:val="32"/>
          <w:szCs w:val="32"/>
        </w:rPr>
        <w:t>采购文件编号：SXLM-202</w:t>
      </w: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cs="黑体"/>
          <w:sz w:val="32"/>
          <w:szCs w:val="32"/>
          <w:lang w:val="en-US" w:eastAsia="zh-CN"/>
        </w:rPr>
        <w:t>QBQ</w:t>
      </w:r>
      <w:r>
        <w:rPr>
          <w:rFonts w:hint="eastAsia" w:ascii="黑体" w:hAnsi="黑体" w:eastAsia="黑体" w:cs="黑体"/>
          <w:sz w:val="32"/>
          <w:szCs w:val="32"/>
        </w:rPr>
        <w:t>-001</w:t>
      </w:r>
    </w:p>
    <w:p w14:paraId="33AD61F9">
      <w:pPr>
        <w:widowControl/>
        <w:shd w:val="clear" w:color="auto" w:fill="FFFFFF"/>
        <w:ind w:firstLine="602" w:firstLineChars="200"/>
        <w:jc w:val="center"/>
        <w:rPr>
          <w:rFonts w:ascii="仿宋" w:hAnsi="仿宋" w:cs="仿宋"/>
          <w:b/>
          <w:bCs/>
          <w:color w:val="000000"/>
          <w:kern w:val="0"/>
          <w:sz w:val="30"/>
          <w:szCs w:val="30"/>
          <w:shd w:val="clear" w:color="auto" w:fill="FFFFFF"/>
          <w:lang w:bidi="ar"/>
        </w:rPr>
      </w:pPr>
    </w:p>
    <w:p w14:paraId="59FEEF50">
      <w:pPr>
        <w:widowControl/>
        <w:shd w:val="clear" w:color="auto" w:fill="FFFFFF"/>
        <w:ind w:firstLine="602" w:firstLineChars="200"/>
        <w:jc w:val="center"/>
        <w:rPr>
          <w:rFonts w:ascii="仿宋" w:hAnsi="仿宋" w:cs="仿宋"/>
          <w:b/>
          <w:bCs/>
          <w:color w:val="000000"/>
          <w:kern w:val="0"/>
          <w:sz w:val="30"/>
          <w:szCs w:val="30"/>
          <w:shd w:val="clear" w:color="auto" w:fill="FFFFFF"/>
          <w:lang w:bidi="ar"/>
        </w:rPr>
      </w:pPr>
    </w:p>
    <w:p w14:paraId="4C1CA64F">
      <w:pPr>
        <w:widowControl/>
        <w:shd w:val="clear" w:color="auto" w:fill="FFFFFF"/>
        <w:rPr>
          <w:rFonts w:ascii="仿宋" w:hAnsi="仿宋" w:cs="仿宋"/>
          <w:b/>
          <w:bCs/>
          <w:color w:val="000000"/>
          <w:kern w:val="0"/>
          <w:sz w:val="30"/>
          <w:szCs w:val="30"/>
          <w:shd w:val="clear" w:color="auto" w:fill="FFFFFF"/>
          <w:lang w:bidi="ar"/>
        </w:rPr>
      </w:pPr>
    </w:p>
    <w:p w14:paraId="184C8B79">
      <w:pPr>
        <w:widowControl/>
        <w:shd w:val="clear" w:color="auto" w:fill="FFFFFF"/>
        <w:jc w:val="center"/>
        <w:rPr>
          <w:rFonts w:ascii="仿宋" w:hAnsi="仿宋" w:cs="仿宋"/>
          <w:b/>
          <w:bCs/>
          <w:color w:val="000000"/>
          <w:kern w:val="0"/>
          <w:sz w:val="30"/>
          <w:szCs w:val="30"/>
          <w:shd w:val="clear" w:color="auto" w:fill="FFFFFF"/>
          <w:lang w:bidi="ar"/>
        </w:rPr>
      </w:pPr>
    </w:p>
    <w:p w14:paraId="3FD2F259">
      <w:pPr>
        <w:pStyle w:val="13"/>
        <w:rPr>
          <w:rFonts w:hint="default" w:ascii="仿宋" w:hAnsi="仿宋" w:cs="仿宋"/>
          <w:b/>
          <w:bCs/>
          <w:sz w:val="30"/>
          <w:szCs w:val="30"/>
          <w:shd w:val="clear" w:color="auto" w:fill="FFFFFF"/>
          <w:lang w:bidi="ar"/>
        </w:rPr>
      </w:pPr>
    </w:p>
    <w:p w14:paraId="0E3ADF7E">
      <w:pPr>
        <w:pStyle w:val="13"/>
        <w:rPr>
          <w:rFonts w:hint="default" w:ascii="仿宋" w:hAnsi="仿宋" w:cs="仿宋"/>
          <w:b/>
          <w:bCs/>
          <w:sz w:val="30"/>
          <w:szCs w:val="30"/>
          <w:shd w:val="clear" w:color="auto" w:fill="FFFFFF"/>
          <w:lang w:bidi="ar"/>
        </w:rPr>
      </w:pPr>
    </w:p>
    <w:p w14:paraId="0AE7CF20">
      <w:pPr>
        <w:pStyle w:val="13"/>
        <w:rPr>
          <w:rFonts w:hint="default" w:ascii="仿宋" w:hAnsi="仿宋" w:cs="仿宋"/>
          <w:b/>
          <w:bCs/>
          <w:sz w:val="30"/>
          <w:szCs w:val="30"/>
          <w:shd w:val="clear" w:color="auto" w:fill="FFFFFF"/>
          <w:lang w:bidi="ar"/>
        </w:rPr>
      </w:pPr>
    </w:p>
    <w:p w14:paraId="56C8C5A4">
      <w:pPr>
        <w:pStyle w:val="13"/>
        <w:rPr>
          <w:rFonts w:hint="default" w:ascii="仿宋" w:hAnsi="仿宋" w:cs="仿宋"/>
          <w:b/>
          <w:bCs/>
          <w:sz w:val="30"/>
          <w:szCs w:val="30"/>
          <w:shd w:val="clear" w:color="auto" w:fill="FFFFFF"/>
          <w:lang w:bidi="ar"/>
        </w:rPr>
      </w:pPr>
    </w:p>
    <w:p w14:paraId="4541A450">
      <w:pPr>
        <w:pStyle w:val="13"/>
        <w:rPr>
          <w:rFonts w:hint="default" w:ascii="仿宋" w:hAnsi="仿宋" w:cs="仿宋"/>
          <w:b/>
          <w:bCs/>
          <w:sz w:val="30"/>
          <w:szCs w:val="30"/>
          <w:shd w:val="clear" w:color="auto" w:fill="FFFFFF"/>
          <w:lang w:bidi="ar"/>
        </w:rPr>
      </w:pPr>
    </w:p>
    <w:p w14:paraId="129A03AC">
      <w:pPr>
        <w:pStyle w:val="13"/>
        <w:rPr>
          <w:rFonts w:hint="default" w:ascii="仿宋" w:hAnsi="仿宋" w:cs="仿宋"/>
          <w:b/>
          <w:bCs/>
          <w:sz w:val="30"/>
          <w:szCs w:val="30"/>
          <w:shd w:val="clear" w:color="auto" w:fill="FFFFFF"/>
          <w:lang w:bidi="ar"/>
        </w:rPr>
      </w:pPr>
    </w:p>
    <w:p w14:paraId="37C6B990">
      <w:pPr>
        <w:pStyle w:val="13"/>
        <w:rPr>
          <w:rFonts w:hint="default" w:ascii="仿宋" w:hAnsi="仿宋" w:cs="仿宋"/>
          <w:b/>
          <w:bCs/>
          <w:sz w:val="30"/>
          <w:szCs w:val="30"/>
          <w:shd w:val="clear" w:color="auto" w:fill="FFFFFF"/>
          <w:lang w:bidi="ar"/>
        </w:rPr>
      </w:pPr>
    </w:p>
    <w:p w14:paraId="207A3DC6">
      <w:pPr>
        <w:pStyle w:val="13"/>
        <w:rPr>
          <w:rFonts w:hint="default" w:ascii="仿宋" w:hAnsi="仿宋" w:cs="仿宋"/>
          <w:b/>
          <w:bCs/>
          <w:sz w:val="30"/>
          <w:szCs w:val="30"/>
          <w:shd w:val="clear" w:color="auto" w:fill="FFFFFF"/>
          <w:lang w:bidi="ar"/>
        </w:rPr>
      </w:pPr>
    </w:p>
    <w:p w14:paraId="235A4F73">
      <w:pPr>
        <w:pStyle w:val="13"/>
        <w:rPr>
          <w:rFonts w:hint="default" w:ascii="仿宋" w:hAnsi="仿宋" w:cs="仿宋"/>
          <w:b/>
          <w:bCs/>
          <w:sz w:val="30"/>
          <w:szCs w:val="30"/>
          <w:shd w:val="clear" w:color="auto" w:fill="FFFFFF"/>
          <w:lang w:bidi="ar"/>
        </w:rPr>
      </w:pPr>
    </w:p>
    <w:p w14:paraId="3E2D86FD">
      <w:pPr>
        <w:shd w:val="clear" w:color="auto" w:fill="FFFFFF"/>
        <w:spacing w:line="640" w:lineRule="exact"/>
        <w:jc w:val="center"/>
        <w:outlineLvl w:val="0"/>
        <w:rPr>
          <w:rFonts w:hint="eastAsia" w:ascii="黑体" w:hAnsi="黑体" w:eastAsia="黑体" w:cs="黑体"/>
          <w:color w:val="000000"/>
          <w:kern w:val="0"/>
          <w:sz w:val="32"/>
          <w:szCs w:val="32"/>
          <w:shd w:val="clear" w:color="auto" w:fill="FFFFFF"/>
          <w:lang w:val="en-US" w:eastAsia="zh-CN" w:bidi="ar"/>
        </w:rPr>
      </w:pPr>
      <w:bookmarkStart w:id="5" w:name="_Toc1363"/>
      <w:r>
        <w:rPr>
          <w:rFonts w:hint="eastAsia" w:ascii="黑体" w:hAnsi="黑体" w:eastAsia="黑体" w:cs="黑体"/>
          <w:color w:val="000000"/>
          <w:kern w:val="0"/>
          <w:sz w:val="32"/>
          <w:szCs w:val="32"/>
          <w:shd w:val="clear" w:color="auto" w:fill="FFFFFF"/>
          <w:lang w:val="en-US" w:eastAsia="zh-CN" w:bidi="ar"/>
        </w:rPr>
        <w:t>省际联盟联合采购办公室</w:t>
      </w:r>
      <w:bookmarkEnd w:id="5"/>
    </w:p>
    <w:p w14:paraId="6F21A245">
      <w:pPr>
        <w:shd w:val="clear" w:color="auto" w:fill="FFFFFF"/>
        <w:spacing w:line="640" w:lineRule="exact"/>
        <w:jc w:val="center"/>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202</w:t>
      </w:r>
      <w:r>
        <w:rPr>
          <w:rFonts w:hint="eastAsia" w:ascii="黑体" w:hAnsi="黑体" w:eastAsia="黑体" w:cs="黑体"/>
          <w:color w:val="000000"/>
          <w:kern w:val="0"/>
          <w:sz w:val="32"/>
          <w:szCs w:val="32"/>
          <w:shd w:val="clear" w:color="auto" w:fill="FFFFFF"/>
          <w:lang w:val="en-US" w:eastAsia="zh-CN" w:bidi="ar"/>
        </w:rPr>
        <w:t>4</w:t>
      </w:r>
      <w:r>
        <w:rPr>
          <w:rFonts w:hint="eastAsia" w:ascii="黑体" w:hAnsi="黑体" w:eastAsia="黑体" w:cs="黑体"/>
          <w:color w:val="000000"/>
          <w:kern w:val="0"/>
          <w:sz w:val="32"/>
          <w:szCs w:val="32"/>
          <w:shd w:val="clear" w:color="auto" w:fill="FFFFFF"/>
          <w:lang w:bidi="ar"/>
        </w:rPr>
        <w:t>年</w:t>
      </w:r>
      <w:r>
        <w:rPr>
          <w:rFonts w:hint="eastAsia" w:ascii="黑体" w:hAnsi="黑体" w:eastAsia="黑体" w:cs="黑体"/>
          <w:color w:val="000000"/>
          <w:kern w:val="0"/>
          <w:sz w:val="32"/>
          <w:szCs w:val="32"/>
          <w:shd w:val="clear" w:color="auto" w:fill="FFFFFF"/>
          <w:lang w:val="en-US" w:eastAsia="zh-CN" w:bidi="ar"/>
        </w:rPr>
        <w:t>8</w:t>
      </w:r>
      <w:r>
        <w:rPr>
          <w:rFonts w:hint="eastAsia" w:ascii="黑体" w:hAnsi="黑体" w:eastAsia="黑体" w:cs="黑体"/>
          <w:color w:val="000000"/>
          <w:kern w:val="0"/>
          <w:sz w:val="32"/>
          <w:szCs w:val="32"/>
          <w:shd w:val="clear" w:color="auto" w:fill="FFFFFF"/>
          <w:lang w:bidi="ar"/>
        </w:rPr>
        <w:t>月</w:t>
      </w:r>
    </w:p>
    <w:p w14:paraId="0BCF43B9">
      <w:pPr>
        <w:pStyle w:val="13"/>
        <w:rPr>
          <w:rFonts w:hint="default" w:ascii="仿宋" w:hAnsi="仿宋" w:cs="仿宋"/>
          <w:sz w:val="30"/>
          <w:szCs w:val="30"/>
          <w:shd w:val="clear" w:color="auto" w:fill="FFFFFF"/>
          <w:lang w:bidi="ar"/>
        </w:rPr>
      </w:pPr>
    </w:p>
    <w:p w14:paraId="2E7E77E8"/>
    <w:p w14:paraId="66037259">
      <w:pPr>
        <w:sectPr>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82934"/>
        <w15:color w:val="DBDBDB"/>
        <w:docPartObj>
          <w:docPartGallery w:val="Table of Contents"/>
          <w:docPartUnique/>
        </w:docPartObj>
      </w:sdtPr>
      <w:sdtEndPr>
        <w:rPr>
          <w:rFonts w:hint="eastAsia" w:ascii="方正小标宋简体" w:hAnsi="方正小标宋简体" w:eastAsia="方正小标宋简体" w:cs="方正小标宋简体"/>
          <w:b/>
          <w:bCs/>
          <w:spacing w:val="-6"/>
          <w:kern w:val="0"/>
          <w:sz w:val="24"/>
          <w:szCs w:val="48"/>
          <w:lang w:val="en-US" w:eastAsia="zh-CN" w:bidi="ar-SA"/>
        </w:rPr>
      </w:sdtEndPr>
      <w:sdtContent>
        <w:p w14:paraId="38F0106C">
          <w:pPr>
            <w:spacing w:before="0" w:beforeLines="0" w:after="0" w:afterLines="0" w:line="240" w:lineRule="auto"/>
            <w:ind w:left="0" w:leftChars="0" w:right="0" w:rightChars="0" w:firstLine="0" w:firstLineChars="0"/>
            <w:jc w:val="center"/>
          </w:pPr>
          <w:bookmarkStart w:id="6" w:name="_Toc16976"/>
          <w:r>
            <w:rPr>
              <w:rFonts w:ascii="宋体" w:hAnsi="宋体" w:eastAsia="宋体"/>
              <w:sz w:val="21"/>
            </w:rPr>
            <w:t>目录</w:t>
          </w:r>
        </w:p>
        <w:p w14:paraId="4EBE8560">
          <w:pPr>
            <w:pStyle w:val="14"/>
            <w:tabs>
              <w:tab w:val="right" w:leader="dot" w:pos="8306"/>
            </w:tabs>
            <w:rPr>
              <w:b/>
            </w:rPr>
          </w:pPr>
          <w:r>
            <w:rPr>
              <w:rFonts w:hint="eastAsia" w:ascii="方正小标宋简体" w:hAnsi="方正小标宋简体" w:eastAsia="方正小标宋简体" w:cs="方正小标宋简体"/>
              <w:bCs/>
              <w:spacing w:val="-6"/>
              <w:kern w:val="0"/>
              <w:sz w:val="48"/>
              <w:szCs w:val="48"/>
              <w:lang w:val="en-US" w:eastAsia="zh-CN" w:bidi="ar-SA"/>
            </w:rPr>
            <w:fldChar w:fldCharType="begin"/>
          </w:r>
          <w:r>
            <w:rPr>
              <w:rFonts w:hint="eastAsia" w:ascii="方正小标宋简体" w:hAnsi="方正小标宋简体" w:eastAsia="方正小标宋简体" w:cs="方正小标宋简体"/>
              <w:bCs/>
              <w:spacing w:val="-6"/>
              <w:kern w:val="0"/>
              <w:sz w:val="48"/>
              <w:szCs w:val="48"/>
              <w:lang w:val="en-US" w:eastAsia="zh-CN" w:bidi="ar-SA"/>
            </w:rPr>
            <w:instrText xml:space="preserve">TOC \o "1-2" \h \u </w:instrText>
          </w:r>
          <w:r>
            <w:rPr>
              <w:rFonts w:hint="eastAsia" w:ascii="方正小标宋简体" w:hAnsi="方正小标宋简体" w:eastAsia="方正小标宋简体" w:cs="方正小标宋简体"/>
              <w:bCs/>
              <w:spacing w:val="-6"/>
              <w:kern w:val="0"/>
              <w:sz w:val="48"/>
              <w:szCs w:val="48"/>
              <w:lang w:val="en-US" w:eastAsia="zh-CN" w:bidi="ar-SA"/>
            </w:rPr>
            <w:fldChar w:fldCharType="separate"/>
          </w:r>
        </w:p>
        <w:p w14:paraId="423F9631">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_Toc14211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hint="eastAsia" w:ascii="方正小标宋简体" w:hAnsi="方正小标宋简体" w:eastAsia="方正小标宋简体" w:cs="方正小标宋简体"/>
              <w:b/>
              <w:bCs/>
              <w:spacing w:val="-6"/>
              <w:kern w:val="0"/>
              <w:szCs w:val="48"/>
              <w:lang w:val="en-US" w:eastAsia="zh-CN" w:bidi="ar-SA"/>
            </w:rPr>
            <w:t>前    言</w:t>
          </w:r>
          <w:r>
            <w:rPr>
              <w:b/>
            </w:rPr>
            <w:tab/>
          </w:r>
          <w:r>
            <w:rPr>
              <w:b/>
            </w:rPr>
            <w:fldChar w:fldCharType="begin"/>
          </w:r>
          <w:r>
            <w:rPr>
              <w:b/>
            </w:rPr>
            <w:instrText xml:space="preserve"> PAGEREF _Toc14211 \h </w:instrText>
          </w:r>
          <w:r>
            <w:rPr>
              <w:b/>
            </w:rPr>
            <w:fldChar w:fldCharType="separate"/>
          </w:r>
          <w:r>
            <w:rPr>
              <w:b/>
            </w:rPr>
            <w:t>1</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14:paraId="68FD4D4D">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_Toc17240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hint="eastAsia" w:ascii="方正小标宋简体" w:hAnsi="方正小标宋简体" w:eastAsia="方正小标宋简体" w:cs="方正小标宋简体"/>
              <w:b/>
              <w:kern w:val="0"/>
              <w:szCs w:val="48"/>
              <w:shd w:val="clear" w:fill="FFFFFF"/>
              <w:lang w:bidi="ar"/>
            </w:rPr>
            <w:t xml:space="preserve">第一部分 </w:t>
          </w:r>
          <w:r>
            <w:rPr>
              <w:rFonts w:hint="eastAsia" w:ascii="方正小标宋简体" w:hAnsi="方正小标宋简体" w:eastAsia="方正小标宋简体" w:cs="方正小标宋简体"/>
              <w:b/>
              <w:kern w:val="0"/>
              <w:szCs w:val="48"/>
              <w:shd w:val="clear" w:color="auto" w:fill="FFFFFF"/>
              <w:lang w:bidi="ar"/>
            </w:rPr>
            <w:t>采购邀请</w:t>
          </w:r>
          <w:r>
            <w:rPr>
              <w:b/>
            </w:rPr>
            <w:tab/>
          </w:r>
          <w:r>
            <w:rPr>
              <w:b/>
            </w:rPr>
            <w:fldChar w:fldCharType="begin"/>
          </w:r>
          <w:r>
            <w:rPr>
              <w:b/>
            </w:rPr>
            <w:instrText xml:space="preserve"> PAGEREF _Toc17240 \h </w:instrText>
          </w:r>
          <w:r>
            <w:rPr>
              <w:b/>
            </w:rPr>
            <w:fldChar w:fldCharType="separate"/>
          </w:r>
          <w:r>
            <w:rPr>
              <w:b/>
            </w:rPr>
            <w:t>2</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14:paraId="7D0D81DC">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_Toc23965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一、采购品种、产品分组</w:t>
          </w:r>
          <w:r>
            <w:tab/>
          </w:r>
          <w:r>
            <w:fldChar w:fldCharType="begin"/>
          </w:r>
          <w:r>
            <w:instrText xml:space="preserve"> PAGEREF _Toc23965 \h </w:instrText>
          </w:r>
          <w:r>
            <w:fldChar w:fldCharType="separate"/>
          </w:r>
          <w:r>
            <w:t>2</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2C8312DB">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_Toc9911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二、采购实施范围及采购方式</w:t>
          </w:r>
          <w:r>
            <w:tab/>
          </w:r>
          <w:r>
            <w:fldChar w:fldCharType="begin"/>
          </w:r>
          <w:r>
            <w:instrText xml:space="preserve"> PAGEREF _Toc9911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3E0779D6">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_Toc20511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三、申报企业要求</w:t>
          </w:r>
          <w:r>
            <w:tab/>
          </w:r>
          <w:r>
            <w:fldChar w:fldCharType="begin"/>
          </w:r>
          <w:r>
            <w:instrText xml:space="preserve"> PAGEREF _Toc20511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31A3AA9C">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_Toc8304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四、采购周期</w:t>
          </w:r>
          <w:r>
            <w:tab/>
          </w:r>
          <w:r>
            <w:fldChar w:fldCharType="begin"/>
          </w:r>
          <w:r>
            <w:instrText xml:space="preserve"> PAGEREF _Toc8304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4F66B1DD">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_Toc31180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五、</w:t>
          </w:r>
          <w:r>
            <w:rPr>
              <w:rFonts w:hint="eastAsia" w:ascii="黑体" w:hAnsi="黑体" w:eastAsia="黑体"/>
              <w:snapToGrid w:val="0"/>
              <w:kern w:val="0"/>
              <w:szCs w:val="32"/>
            </w:rPr>
            <w:t>采购要求</w:t>
          </w:r>
          <w:r>
            <w:tab/>
          </w:r>
          <w:r>
            <w:fldChar w:fldCharType="begin"/>
          </w:r>
          <w:r>
            <w:instrText xml:space="preserve"> PAGEREF _Toc31180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5658D1C5">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_Toc16125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六、采购文件获取方式</w:t>
          </w:r>
          <w:r>
            <w:tab/>
          </w:r>
          <w:r>
            <w:fldChar w:fldCharType="begin"/>
          </w:r>
          <w:r>
            <w:instrText xml:space="preserve"> PAGEREF _Toc16125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15E2A01D">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_Toc11018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七、申报材料递交</w:t>
          </w:r>
          <w:r>
            <w:tab/>
          </w:r>
          <w:r>
            <w:fldChar w:fldCharType="begin"/>
          </w:r>
          <w:r>
            <w:instrText xml:space="preserve"> PAGEREF _Toc11018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2C5B772F">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_Toc26033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八、信息公开渠道</w:t>
          </w:r>
          <w:r>
            <w:tab/>
          </w:r>
          <w:r>
            <w:fldChar w:fldCharType="begin"/>
          </w:r>
          <w:r>
            <w:instrText xml:space="preserve"> PAGEREF _Toc26033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43CEBE70">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_Toc25666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九、联系方式</w:t>
          </w:r>
          <w:r>
            <w:tab/>
          </w:r>
          <w:r>
            <w:fldChar w:fldCharType="begin"/>
          </w:r>
          <w:r>
            <w:instrText xml:space="preserve"> PAGEREF _Toc25666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749F5F72">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_Toc7213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十、最终解释权</w:t>
          </w:r>
          <w:r>
            <w:tab/>
          </w:r>
          <w:r>
            <w:fldChar w:fldCharType="begin"/>
          </w:r>
          <w:r>
            <w:instrText xml:space="preserve"> PAGEREF _Toc7213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45FFD00F">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_Toc23556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十一、其他</w:t>
          </w:r>
          <w:r>
            <w:tab/>
          </w:r>
          <w:r>
            <w:fldChar w:fldCharType="begin"/>
          </w:r>
          <w:r>
            <w:instrText xml:space="preserve"> PAGEREF _Toc23556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6B3FAC23">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_Toc7786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十二、监督机构</w:t>
          </w:r>
          <w:r>
            <w:tab/>
          </w:r>
          <w:r>
            <w:fldChar w:fldCharType="begin"/>
          </w:r>
          <w:r>
            <w:instrText xml:space="preserve"> PAGEREF _Toc7786 \h </w:instrText>
          </w:r>
          <w:r>
            <w:fldChar w:fldCharType="separate"/>
          </w:r>
          <w:r>
            <w:t>5</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57880854">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_Toc26467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hint="eastAsia" w:ascii="方正小标宋简体" w:hAnsi="方正小标宋简体" w:eastAsia="方正小标宋简体" w:cs="方正小标宋简体"/>
              <w:b/>
              <w:kern w:val="0"/>
              <w:szCs w:val="48"/>
              <w:shd w:val="clear" w:fill="FFFFFF"/>
              <w:lang w:bidi="ar"/>
            </w:rPr>
            <w:t xml:space="preserve">第二部分 </w:t>
          </w:r>
          <w:r>
            <w:rPr>
              <w:rFonts w:hint="eastAsia" w:ascii="方正小标宋简体" w:hAnsi="方正小标宋简体" w:eastAsia="方正小标宋简体" w:cs="方正小标宋简体"/>
              <w:b/>
              <w:kern w:val="0"/>
              <w:szCs w:val="48"/>
              <w:shd w:val="clear" w:color="auto" w:fill="FFFFFF"/>
              <w:lang w:bidi="ar"/>
            </w:rPr>
            <w:t>申报企业须知</w:t>
          </w:r>
          <w:r>
            <w:rPr>
              <w:b/>
            </w:rPr>
            <w:tab/>
          </w:r>
          <w:r>
            <w:rPr>
              <w:b/>
            </w:rPr>
            <w:fldChar w:fldCharType="begin"/>
          </w:r>
          <w:r>
            <w:rPr>
              <w:b/>
            </w:rPr>
            <w:instrText xml:space="preserve"> PAGEREF _Toc26467 \h </w:instrText>
          </w:r>
          <w:r>
            <w:rPr>
              <w:b/>
            </w:rPr>
            <w:fldChar w:fldCharType="separate"/>
          </w:r>
          <w:r>
            <w:rPr>
              <w:b/>
            </w:rPr>
            <w:t>6</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14:paraId="1D696BEF">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_Toc23082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一、申报要求</w:t>
          </w:r>
          <w:r>
            <w:tab/>
          </w:r>
          <w:r>
            <w:fldChar w:fldCharType="begin"/>
          </w:r>
          <w:r>
            <w:instrText xml:space="preserve"> PAGEREF _Toc23082 \h </w:instrText>
          </w:r>
          <w:r>
            <w:fldChar w:fldCharType="separate"/>
          </w:r>
          <w:r>
            <w:t>6</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632C6E51">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_Toc24109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二、申报材料编制</w:t>
          </w:r>
          <w:r>
            <w:tab/>
          </w:r>
          <w:r>
            <w:fldChar w:fldCharType="begin"/>
          </w:r>
          <w:r>
            <w:instrText xml:space="preserve"> PAGEREF _Toc24109 \h </w:instrText>
          </w:r>
          <w:r>
            <w:fldChar w:fldCharType="separate"/>
          </w:r>
          <w:r>
            <w:t>7</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5C1F20F4">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_Toc11467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三、申报材料递交</w:t>
          </w:r>
          <w:r>
            <w:tab/>
          </w:r>
          <w:r>
            <w:fldChar w:fldCharType="begin"/>
          </w:r>
          <w:r>
            <w:instrText xml:space="preserve"> PAGEREF _Toc11467 \h </w:instrText>
          </w:r>
          <w:r>
            <w:fldChar w:fldCharType="separate"/>
          </w:r>
          <w:r>
            <w:t>8</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654E15C7">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_Toc8683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四、产品报价</w:t>
          </w:r>
          <w:r>
            <w:tab/>
          </w:r>
          <w:r>
            <w:fldChar w:fldCharType="begin"/>
          </w:r>
          <w:r>
            <w:instrText xml:space="preserve"> PAGEREF _Toc8683 \h </w:instrText>
          </w:r>
          <w:r>
            <w:fldChar w:fldCharType="separate"/>
          </w:r>
          <w:r>
            <w:t>9</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4BA38A14">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_Toc3279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五</w:t>
          </w:r>
          <w:r>
            <w:rPr>
              <w:rFonts w:hint="default" w:ascii="黑体" w:hAnsi="黑体" w:eastAsia="黑体" w:cs="黑体"/>
              <w:bCs/>
              <w:kern w:val="44"/>
              <w:szCs w:val="32"/>
              <w:lang w:val="en-US" w:eastAsia="zh-CN" w:bidi="ar-SA"/>
            </w:rPr>
            <w:t>、中选产品的确认</w:t>
          </w:r>
          <w:r>
            <w:tab/>
          </w:r>
          <w:r>
            <w:fldChar w:fldCharType="begin"/>
          </w:r>
          <w:r>
            <w:instrText xml:space="preserve"> PAGEREF _Toc3279 \h </w:instrText>
          </w:r>
          <w:r>
            <w:fldChar w:fldCharType="separate"/>
          </w:r>
          <w:r>
            <w:t>9</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0F6CE20A">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_Toc26056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六</w:t>
          </w:r>
          <w:r>
            <w:rPr>
              <w:rFonts w:hint="default" w:ascii="黑体" w:hAnsi="黑体" w:eastAsia="黑体" w:cs="黑体"/>
              <w:bCs/>
              <w:kern w:val="44"/>
              <w:szCs w:val="32"/>
              <w:lang w:val="en-US" w:eastAsia="zh-CN" w:bidi="ar-SA"/>
            </w:rPr>
            <w:t>、</w:t>
          </w:r>
          <w:r>
            <w:rPr>
              <w:rFonts w:hint="eastAsia" w:ascii="黑体" w:hAnsi="黑体" w:eastAsia="黑体" w:cs="黑体"/>
              <w:bCs/>
              <w:kern w:val="44"/>
              <w:szCs w:val="32"/>
              <w:lang w:val="en-US" w:eastAsia="zh-CN" w:bidi="ar-SA"/>
            </w:rPr>
            <w:t>协议量分配</w:t>
          </w:r>
          <w:r>
            <w:tab/>
          </w:r>
          <w:r>
            <w:fldChar w:fldCharType="begin"/>
          </w:r>
          <w:r>
            <w:instrText xml:space="preserve"> PAGEREF _Toc26056 \h </w:instrText>
          </w:r>
          <w:r>
            <w:fldChar w:fldCharType="separate"/>
          </w:r>
          <w:r>
            <w:t>10</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105AD36C">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_Toc25757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default" w:ascii="黑体" w:hAnsi="黑体" w:eastAsia="黑体" w:cs="黑体"/>
              <w:bCs/>
              <w:kern w:val="44"/>
              <w:szCs w:val="32"/>
              <w:lang w:val="en-US" w:eastAsia="zh-CN" w:bidi="ar-SA"/>
            </w:rPr>
            <w:t>七、采购协议履行及有关问题处理</w:t>
          </w:r>
          <w:r>
            <w:tab/>
          </w:r>
          <w:r>
            <w:fldChar w:fldCharType="begin"/>
          </w:r>
          <w:r>
            <w:instrText xml:space="preserve"> PAGEREF _Toc25757 \h </w:instrText>
          </w:r>
          <w:r>
            <w:fldChar w:fldCharType="separate"/>
          </w:r>
          <w:r>
            <w:t>11</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14:paraId="10750739">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_Toc1748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ascii="方正小标宋简体" w:hAnsi="方正小标宋简体" w:eastAsia="方正小标宋简体" w:cs="方正小标宋简体"/>
              <w:b/>
              <w:bCs/>
              <w:szCs w:val="56"/>
              <w:highlight w:val="none"/>
            </w:rPr>
            <w:t xml:space="preserve">第三部分 </w:t>
          </w:r>
          <w:r>
            <w:rPr>
              <w:rFonts w:hint="eastAsia" w:ascii="方正小标宋简体" w:hAnsi="方正小标宋简体" w:eastAsia="方正小标宋简体" w:cs="方正小标宋简体"/>
              <w:b/>
              <w:bCs/>
              <w:szCs w:val="56"/>
              <w:highlight w:val="none"/>
            </w:rPr>
            <w:t>格式文件</w:t>
          </w:r>
          <w:r>
            <w:rPr>
              <w:b/>
            </w:rPr>
            <w:tab/>
          </w:r>
          <w:r>
            <w:rPr>
              <w:b/>
            </w:rPr>
            <w:fldChar w:fldCharType="begin"/>
          </w:r>
          <w:r>
            <w:rPr>
              <w:b/>
            </w:rPr>
            <w:instrText xml:space="preserve"> PAGEREF _Toc1748 \h </w:instrText>
          </w:r>
          <w:r>
            <w:rPr>
              <w:b/>
            </w:rPr>
            <w:fldChar w:fldCharType="separate"/>
          </w:r>
          <w:r>
            <w:rPr>
              <w:b/>
            </w:rPr>
            <w:t>14</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14:paraId="48DB9FA5">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r>
            <w:rPr>
              <w:rFonts w:hint="eastAsia" w:ascii="方正小标宋简体" w:hAnsi="方正小标宋简体" w:eastAsia="方正小标宋简体" w:cs="方正小标宋简体"/>
              <w:b/>
              <w:bCs/>
              <w:spacing w:val="-6"/>
              <w:kern w:val="0"/>
              <w:szCs w:val="48"/>
              <w:lang w:val="en-US" w:eastAsia="zh-CN" w:bidi="ar-SA"/>
            </w:rPr>
            <w:fldChar w:fldCharType="end"/>
          </w:r>
        </w:p>
      </w:sdtContent>
    </w:sdt>
    <w:p w14:paraId="75DD2AAB">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p>
    <w:p w14:paraId="384F59AC">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p>
    <w:p w14:paraId="0ED6604F">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p>
    <w:p w14:paraId="10AB5FA3">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FEA7A90">
      <w:pPr>
        <w:pStyle w:val="2"/>
        <w:jc w:val="center"/>
        <w:outlineLvl w:val="0"/>
        <w:rPr>
          <w:rFonts w:hint="eastAsia" w:ascii="方正小标宋简体" w:hAnsi="方正小标宋简体" w:eastAsia="方正小标宋简体" w:cs="方正小标宋简体"/>
          <w:bCs/>
          <w:spacing w:val="-6"/>
          <w:kern w:val="0"/>
          <w:sz w:val="48"/>
          <w:szCs w:val="48"/>
          <w:lang w:val="en-US" w:eastAsia="zh-CN" w:bidi="ar-SA"/>
        </w:rPr>
      </w:pPr>
      <w:bookmarkStart w:id="7" w:name="_Toc14211"/>
      <w:r>
        <w:rPr>
          <w:rFonts w:hint="eastAsia" w:ascii="方正小标宋简体" w:hAnsi="方正小标宋简体" w:eastAsia="方正小标宋简体" w:cs="方正小标宋简体"/>
          <w:bCs/>
          <w:spacing w:val="-6"/>
          <w:kern w:val="0"/>
          <w:sz w:val="48"/>
          <w:szCs w:val="48"/>
          <w:lang w:val="en-US" w:eastAsia="zh-CN" w:bidi="ar-SA"/>
        </w:rPr>
        <w:t>前    言</w:t>
      </w:r>
      <w:bookmarkEnd w:id="6"/>
      <w:bookmarkEnd w:id="7"/>
    </w:p>
    <w:p w14:paraId="04B0CBCB">
      <w:pPr>
        <w:pStyle w:val="2"/>
        <w:rPr>
          <w:rFonts w:hint="eastAsia"/>
        </w:rPr>
      </w:pPr>
    </w:p>
    <w:p w14:paraId="430FA06F">
      <w:pPr>
        <w:ind w:firstLine="560" w:firstLineChars="200"/>
        <w:rPr>
          <w:rFonts w:hint="eastAsia"/>
        </w:rPr>
      </w:pPr>
      <w:r>
        <w:rPr>
          <w:rFonts w:hint="eastAsia"/>
        </w:rPr>
        <w:t>为深入推进高值医用耗材集中带量采购改革，按照《国务院办公厅关于印发治理高值医用耗材改革方案的通知》（国办发〔2019〕37号）和《关于开展国家组织高值医用耗材集中带量采购和使用的指导意见》（医保发〔2021〕31号）要求，由陕西联合湖南、广西、海南、甘肃、宁夏、新疆、新疆生产建设兵团共8个省（区、兵团）成立心脏起搏器协议期满接续集中带量采购领导小组办公室，代表各地区公立医疗机构（含军队医疗机构）及自愿参加的医保定点社会办医疗机构开展集中带量采购，由陕西省</w:t>
      </w:r>
      <w:r>
        <w:rPr>
          <w:rFonts w:hint="eastAsia"/>
          <w:lang w:eastAsia="zh-CN"/>
        </w:rPr>
        <w:t>公共资源交易中心</w:t>
      </w:r>
      <w:r>
        <w:rPr>
          <w:rFonts w:hint="eastAsia"/>
        </w:rPr>
        <w:t>承担日常工作并具体实施。联盟地区医疗保障部门负责本地区中选结果落地实施工作。</w:t>
      </w:r>
    </w:p>
    <w:p w14:paraId="288BF59E">
      <w:pPr>
        <w:ind w:firstLine="560" w:firstLineChars="200"/>
        <w:rPr>
          <w:rFonts w:hint="eastAsia"/>
        </w:rPr>
      </w:pPr>
    </w:p>
    <w:p w14:paraId="5D024E08">
      <w:pPr>
        <w:pStyle w:val="2"/>
        <w:rPr>
          <w:rFonts w:hint="eastAsia"/>
        </w:rPr>
      </w:pPr>
    </w:p>
    <w:p w14:paraId="415D92CB">
      <w:pPr>
        <w:rPr>
          <w:rFonts w:hint="eastAsia"/>
        </w:rPr>
      </w:pPr>
    </w:p>
    <w:p w14:paraId="0ACC7AAA">
      <w:pPr>
        <w:pStyle w:val="2"/>
        <w:rPr>
          <w:rFonts w:hint="eastAsia"/>
        </w:rPr>
      </w:pPr>
    </w:p>
    <w:p w14:paraId="77F415CB">
      <w:pPr>
        <w:rPr>
          <w:rFonts w:hint="eastAsia"/>
        </w:rPr>
      </w:pPr>
    </w:p>
    <w:p w14:paraId="48A9FEB8">
      <w:pPr>
        <w:pStyle w:val="2"/>
        <w:rPr>
          <w:rFonts w:hint="eastAsia"/>
        </w:rPr>
      </w:pPr>
    </w:p>
    <w:p w14:paraId="6090D5CF">
      <w:pPr>
        <w:rPr>
          <w:rFonts w:hint="eastAsia"/>
        </w:rPr>
      </w:pPr>
    </w:p>
    <w:p w14:paraId="1431E7A2">
      <w:pPr>
        <w:pStyle w:val="2"/>
        <w:rPr>
          <w:rFonts w:hint="eastAsia"/>
        </w:rPr>
      </w:pPr>
    </w:p>
    <w:p w14:paraId="54A28ACD">
      <w:pPr>
        <w:rPr>
          <w:rFonts w:hint="eastAsia"/>
        </w:rPr>
      </w:pPr>
    </w:p>
    <w:p w14:paraId="38C45D69">
      <w:pPr>
        <w:pStyle w:val="2"/>
        <w:rPr>
          <w:rFonts w:hint="eastAsia"/>
        </w:rPr>
      </w:pPr>
    </w:p>
    <w:p w14:paraId="160FA993">
      <w:pPr>
        <w:pStyle w:val="13"/>
        <w:rPr>
          <w:rFonts w:hint="eastAsia"/>
        </w:rPr>
      </w:pPr>
    </w:p>
    <w:p w14:paraId="09A4A4EA">
      <w:pPr>
        <w:numPr>
          <w:ilvl w:val="0"/>
          <w:numId w:val="1"/>
        </w:numPr>
        <w:shd w:val="clear" w:color="auto" w:fill="FFFFFF"/>
        <w:spacing w:line="700" w:lineRule="exact"/>
        <w:jc w:val="center"/>
        <w:outlineLvl w:val="0"/>
        <w:rPr>
          <w:rFonts w:hint="eastAsia" w:ascii="方正小标宋简体" w:hAnsi="方正小标宋简体" w:eastAsia="方正小标宋简体" w:cs="方正小标宋简体"/>
          <w:color w:val="000000"/>
          <w:kern w:val="0"/>
          <w:sz w:val="48"/>
          <w:szCs w:val="48"/>
          <w:shd w:val="clear" w:color="auto" w:fill="FFFFFF"/>
          <w:lang w:bidi="ar"/>
        </w:rPr>
      </w:pPr>
      <w:bookmarkStart w:id="8" w:name="_Toc17240"/>
      <w:bookmarkStart w:id="9" w:name="_Toc777"/>
      <w:r>
        <w:rPr>
          <w:rFonts w:hint="eastAsia" w:ascii="方正小标宋简体" w:hAnsi="方正小标宋简体" w:eastAsia="方正小标宋简体" w:cs="方正小标宋简体"/>
          <w:color w:val="000000"/>
          <w:kern w:val="0"/>
          <w:sz w:val="48"/>
          <w:szCs w:val="48"/>
          <w:shd w:val="clear" w:color="auto" w:fill="FFFFFF"/>
          <w:lang w:bidi="ar"/>
        </w:rPr>
        <w:t>采购邀请</w:t>
      </w:r>
      <w:bookmarkEnd w:id="8"/>
      <w:bookmarkEnd w:id="9"/>
    </w:p>
    <w:p w14:paraId="14838121">
      <w:pPr>
        <w:rPr>
          <w:rFonts w:hint="eastAsia"/>
        </w:rPr>
      </w:pPr>
    </w:p>
    <w:p w14:paraId="6644C151">
      <w:pPr>
        <w:ind w:firstLine="560" w:firstLineChars="200"/>
        <w:rPr>
          <w:rFonts w:hint="eastAsia"/>
        </w:rPr>
      </w:pPr>
      <w:r>
        <w:rPr>
          <w:rFonts w:hint="eastAsia"/>
        </w:rPr>
        <w:t>省际联盟心脏起搏器协议期满接续集中带量采购工作（以下简称“带量采购工作”）自即日起开始实施，欢迎符合条件的国内心脏起搏器生产企业、进口心脏起搏器国内总代理商前来参与。</w:t>
      </w:r>
    </w:p>
    <w:p w14:paraId="034F1222">
      <w:pPr>
        <w:ind w:firstLine="640" w:firstLineChars="200"/>
        <w:outlineLvl w:val="1"/>
        <w:rPr>
          <w:rFonts w:hint="eastAsia"/>
        </w:rPr>
      </w:pPr>
      <w:bookmarkStart w:id="10" w:name="_Toc21469"/>
      <w:bookmarkStart w:id="11" w:name="_Toc23965"/>
      <w:r>
        <w:rPr>
          <w:rFonts w:hint="eastAsia" w:ascii="黑体" w:hAnsi="黑体" w:eastAsia="黑体" w:cs="黑体"/>
          <w:b w:val="0"/>
          <w:bCs/>
          <w:kern w:val="44"/>
          <w:sz w:val="32"/>
          <w:szCs w:val="32"/>
          <w:lang w:val="en-US" w:eastAsia="zh-CN" w:bidi="ar-SA"/>
        </w:rPr>
        <w:t>一、采购品种、产品分组</w:t>
      </w:r>
      <w:bookmarkEnd w:id="10"/>
      <w:bookmarkEnd w:id="11"/>
      <w:r>
        <w:rPr>
          <w:rFonts w:hint="eastAsia"/>
        </w:rPr>
        <w:t xml:space="preserve">   </w:t>
      </w:r>
    </w:p>
    <w:p w14:paraId="75F9A956">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（一）采购品种</w:t>
      </w:r>
    </w:p>
    <w:p w14:paraId="129B4D4D">
      <w:pPr>
        <w:ind w:firstLine="560" w:firstLineChars="200"/>
        <w:rPr>
          <w:rFonts w:hint="eastAsia"/>
        </w:rPr>
      </w:pPr>
      <w:r>
        <w:rPr>
          <w:rFonts w:hint="eastAsia"/>
        </w:rPr>
        <w:t>本次</w:t>
      </w:r>
      <w:r>
        <w:rPr>
          <w:rFonts w:hint="eastAsia"/>
          <w:lang w:val="en-US" w:eastAsia="zh-CN"/>
        </w:rPr>
        <w:t>集中</w:t>
      </w:r>
      <w:r>
        <w:rPr>
          <w:rFonts w:hint="eastAsia"/>
        </w:rPr>
        <w:t>带量采购品种为双腔起搏器类医用耗材，包括但不限于国家医保局医保医用耗材编码前15位为C02040205800001、C02040205800002、C02040205800003、C02040205800004、C02040205800005、C02040205800006的产品。按功能属性区分采购单元。</w:t>
      </w:r>
    </w:p>
    <w:p w14:paraId="7659A94B">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（二）采购产品分组</w:t>
      </w:r>
    </w:p>
    <w:p w14:paraId="4CFFF7BD">
      <w:pPr>
        <w:ind w:firstLine="560" w:firstLineChars="200"/>
        <w:rPr>
          <w:rFonts w:hint="eastAsia"/>
        </w:rPr>
      </w:pPr>
      <w:r>
        <w:rPr>
          <w:rFonts w:hint="eastAsia"/>
          <w:lang w:val="en-US" w:eastAsia="zh-CN"/>
        </w:rPr>
        <w:t>按照确保临床使用和供应稳定、兼顾各类型产品和企业的原则，综合考虑医疗机构需求、企业供应意愿和供应能力等因素，根据联盟地区医疗机构双腔起搏器类实际采购情况进行分组。分为全身兼容MRI、非全身兼容MRI、非兼容MRI三个组开展采购。</w:t>
      </w:r>
    </w:p>
    <w:p w14:paraId="03960533">
      <w:pPr>
        <w:ind w:firstLine="640" w:firstLineChars="200"/>
        <w:outlineLvl w:val="1"/>
        <w:rPr>
          <w:rFonts w:hint="eastAsia" w:ascii="黑体" w:hAnsi="黑体" w:eastAsia="黑体" w:cs="黑体"/>
          <w:b w:val="0"/>
          <w:bCs/>
          <w:kern w:val="44"/>
          <w:sz w:val="32"/>
          <w:szCs w:val="32"/>
          <w:lang w:val="en-US" w:eastAsia="zh-CN" w:bidi="ar-SA"/>
        </w:rPr>
      </w:pPr>
      <w:bookmarkStart w:id="12" w:name="_Toc9911"/>
      <w:bookmarkStart w:id="13" w:name="_Toc8981"/>
      <w:r>
        <w:rPr>
          <w:rFonts w:hint="eastAsia" w:ascii="黑体" w:hAnsi="黑体" w:eastAsia="黑体" w:cs="黑体"/>
          <w:b w:val="0"/>
          <w:bCs/>
          <w:kern w:val="44"/>
          <w:sz w:val="32"/>
          <w:szCs w:val="32"/>
          <w:lang w:val="en-US" w:eastAsia="zh-CN" w:bidi="ar-SA"/>
        </w:rPr>
        <w:t>二、采购实施范围及采购方式</w:t>
      </w:r>
      <w:bookmarkEnd w:id="12"/>
      <w:bookmarkEnd w:id="13"/>
    </w:p>
    <w:p w14:paraId="6557DFD5">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（一）采购实施范围</w:t>
      </w:r>
    </w:p>
    <w:p w14:paraId="01589F82">
      <w:pPr>
        <w:ind w:firstLine="560" w:firstLineChars="200"/>
        <w:rPr>
          <w:rFonts w:hint="eastAsia"/>
          <w:lang w:val="en-US" w:eastAsia="zh-CN"/>
        </w:rPr>
      </w:pPr>
      <w:r>
        <w:rPr>
          <w:rFonts w:hint="eastAsia"/>
          <w:lang w:val="en-US" w:eastAsia="zh-CN"/>
        </w:rPr>
        <w:t>联盟省（区、兵团）开展心脏起搏器手术的公立医疗机构（含军队医疗机构）及自愿参加的医保定点社会办医疗机构。</w:t>
      </w:r>
    </w:p>
    <w:p w14:paraId="07ADC646">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（二）采购方式</w:t>
      </w:r>
    </w:p>
    <w:p w14:paraId="794E030A">
      <w:pPr>
        <w:ind w:firstLine="560" w:firstLineChars="200"/>
        <w:rPr>
          <w:rFonts w:hint="eastAsia"/>
          <w:lang w:val="en-US" w:eastAsia="zh-CN"/>
        </w:rPr>
      </w:pPr>
      <w:r>
        <w:rPr>
          <w:rFonts w:hint="eastAsia"/>
          <w:lang w:val="en-US" w:eastAsia="zh-CN"/>
        </w:rPr>
        <w:t>本次心脏起搏器集中带量采购方式为“带量联动、双向选择”，即依据采购主体的使用需求，参照市场总体价格水平，综合质量等因素，联动全国各省（区、市）带量采购中选价格，通过购销双方互相选择，以量换价，确定中选产品和分包任务量，实施带量采购及配套政策。</w:t>
      </w:r>
    </w:p>
    <w:p w14:paraId="3E8AEDBD">
      <w:pPr>
        <w:ind w:firstLine="640" w:firstLineChars="200"/>
        <w:outlineLvl w:val="1"/>
        <w:rPr>
          <w:rFonts w:hint="eastAsia" w:ascii="黑体" w:hAnsi="黑体" w:eastAsia="黑体" w:cs="黑体"/>
          <w:b w:val="0"/>
          <w:bCs/>
          <w:kern w:val="44"/>
          <w:sz w:val="32"/>
          <w:szCs w:val="32"/>
          <w:lang w:val="en-US" w:eastAsia="zh-CN" w:bidi="ar-SA"/>
        </w:rPr>
      </w:pPr>
      <w:bookmarkStart w:id="14" w:name="_Toc20511"/>
      <w:bookmarkStart w:id="15" w:name="_Toc16453"/>
      <w:r>
        <w:rPr>
          <w:rFonts w:hint="eastAsia" w:ascii="黑体" w:hAnsi="黑体" w:eastAsia="黑体" w:cs="黑体"/>
          <w:b w:val="0"/>
          <w:bCs/>
          <w:kern w:val="44"/>
          <w:sz w:val="32"/>
          <w:szCs w:val="32"/>
          <w:lang w:val="en-US" w:eastAsia="zh-CN" w:bidi="ar-SA"/>
        </w:rPr>
        <w:t>三、申报企业要求</w:t>
      </w:r>
      <w:bookmarkEnd w:id="14"/>
      <w:bookmarkEnd w:id="15"/>
    </w:p>
    <w:p w14:paraId="70CDCCA0">
      <w:pPr>
        <w:ind w:firstLine="560" w:firstLineChars="200"/>
        <w:rPr>
          <w:rFonts w:hint="eastAsia"/>
          <w:lang w:val="en-US" w:eastAsia="zh-CN"/>
        </w:rPr>
      </w:pPr>
      <w:r>
        <w:rPr>
          <w:rFonts w:hint="eastAsia"/>
          <w:lang w:val="en-US" w:eastAsia="zh-CN"/>
        </w:rPr>
        <w:t>取得双腔起搏器类产品合法资质的医疗器械注册人，在质量标准、生产能力、供应稳定性、企业信用等方面达到集中带量采购要求，作为申报企业，均可参加。其中，境外医疗器械注册人（备案人）应当指定我国境内企业法人协助其履行相应的法律义务。</w:t>
      </w:r>
    </w:p>
    <w:p w14:paraId="7D579775">
      <w:pPr>
        <w:ind w:firstLine="640" w:firstLineChars="200"/>
        <w:outlineLvl w:val="1"/>
        <w:rPr>
          <w:rFonts w:hint="eastAsia" w:ascii="黑体" w:hAnsi="黑体" w:eastAsia="黑体" w:cs="黑体"/>
          <w:b w:val="0"/>
          <w:bCs/>
          <w:kern w:val="44"/>
          <w:sz w:val="32"/>
          <w:szCs w:val="32"/>
          <w:lang w:val="en-US" w:eastAsia="zh-CN" w:bidi="ar-SA"/>
        </w:rPr>
      </w:pPr>
      <w:bookmarkStart w:id="16" w:name="_Toc6241"/>
      <w:bookmarkStart w:id="17" w:name="_Toc8304"/>
      <w:r>
        <w:rPr>
          <w:rFonts w:hint="eastAsia" w:ascii="黑体" w:hAnsi="黑体" w:eastAsia="黑体" w:cs="黑体"/>
          <w:b w:val="0"/>
          <w:bCs/>
          <w:kern w:val="44"/>
          <w:sz w:val="32"/>
          <w:szCs w:val="32"/>
          <w:lang w:val="en-US" w:eastAsia="zh-CN" w:bidi="ar-SA"/>
        </w:rPr>
        <w:t>四、采购周期</w:t>
      </w:r>
      <w:bookmarkEnd w:id="16"/>
      <w:bookmarkEnd w:id="17"/>
    </w:p>
    <w:p w14:paraId="50602C09">
      <w:pPr>
        <w:ind w:firstLine="560" w:firstLineChars="200"/>
        <w:rPr>
          <w:rFonts w:hint="eastAsia"/>
          <w:lang w:val="en-US" w:eastAsia="zh-CN"/>
        </w:rPr>
      </w:pPr>
      <w:r>
        <w:rPr>
          <w:rFonts w:hint="eastAsia"/>
          <w:lang w:val="en-US" w:eastAsia="zh-CN"/>
        </w:rPr>
        <w:t>本次心脏起搏器集中带量采购周期原则上为3年，自中选结果实际执行日起计算。</w:t>
      </w:r>
    </w:p>
    <w:p w14:paraId="5E5B2F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kern w:val="44"/>
          <w:sz w:val="32"/>
          <w:szCs w:val="32"/>
          <w:lang w:val="en-US" w:eastAsia="zh-CN" w:bidi="ar-SA"/>
        </w:rPr>
      </w:pPr>
      <w:bookmarkStart w:id="18" w:name="_Toc20598"/>
      <w:bookmarkStart w:id="19" w:name="_Toc31180"/>
      <w:r>
        <w:rPr>
          <w:rFonts w:hint="eastAsia" w:ascii="黑体" w:hAnsi="黑体" w:eastAsia="黑体" w:cs="黑体"/>
          <w:b w:val="0"/>
          <w:bCs/>
          <w:kern w:val="44"/>
          <w:sz w:val="32"/>
          <w:szCs w:val="32"/>
          <w:lang w:val="en-US" w:eastAsia="zh-CN" w:bidi="ar-SA"/>
        </w:rPr>
        <w:t>五、</w:t>
      </w:r>
      <w:bookmarkEnd w:id="18"/>
      <w:r>
        <w:rPr>
          <w:rFonts w:hint="eastAsia" w:ascii="黑体" w:hAnsi="黑体" w:eastAsia="黑体"/>
          <w:snapToGrid w:val="0"/>
          <w:kern w:val="0"/>
          <w:sz w:val="32"/>
          <w:szCs w:val="32"/>
        </w:rPr>
        <w:t>采购要求</w:t>
      </w:r>
      <w:bookmarkEnd w:id="19"/>
    </w:p>
    <w:p w14:paraId="23265D4E">
      <w:pPr>
        <w:ind w:firstLine="560" w:firstLineChars="200"/>
        <w:rPr>
          <w:rFonts w:hint="eastAsia"/>
          <w:color w:val="FF0000"/>
          <w:lang w:val="en-US" w:eastAsia="zh-CN"/>
        </w:rPr>
      </w:pPr>
      <w:bookmarkStart w:id="20" w:name="_Toc14508"/>
      <w:r>
        <w:rPr>
          <w:rFonts w:hint="eastAsia"/>
          <w:lang w:val="en-US" w:eastAsia="zh-CN"/>
        </w:rPr>
        <w:t>采购周期内，采购主体应优先使用中选产品，并确保完成协议采购量，超出协议采购量的部分，中选企业仍需按中选价格进行供应，直至采购周期届满。采购周期内，如中选产品注册证更新，中选资格及中选价格维持不变；如中选产品在外省集采产生更低中选价格的，企业应于30天内按外省集采最低中选价格及时申报联动；</w:t>
      </w:r>
      <w:r>
        <w:rPr>
          <w:rFonts w:hint="eastAsia"/>
          <w:color w:val="000000" w:themeColor="text1"/>
          <w:lang w:val="en-US" w:eastAsia="zh-CN"/>
          <w14:textFill>
            <w14:solidFill>
              <w14:schemeClr w14:val="tx1"/>
            </w14:solidFill>
          </w14:textFill>
        </w:rPr>
        <w:t>如有未中选产品新取得其他省级或省际联盟中选身份的，由企业提出申请，可参照中选产品予以挂网，并允许其在下一年统一组织签订带量采购协议时按中选产品参与带量采购。</w:t>
      </w:r>
    </w:p>
    <w:p w14:paraId="4AE6FB15">
      <w:pPr>
        <w:ind w:firstLine="640" w:firstLineChars="200"/>
        <w:outlineLvl w:val="1"/>
        <w:rPr>
          <w:rFonts w:hint="eastAsia" w:ascii="黑体" w:hAnsi="黑体" w:eastAsia="黑体" w:cs="黑体"/>
          <w:b w:val="0"/>
          <w:bCs/>
          <w:kern w:val="44"/>
          <w:sz w:val="32"/>
          <w:szCs w:val="32"/>
          <w:lang w:val="en-US" w:eastAsia="zh-CN" w:bidi="ar-SA"/>
        </w:rPr>
      </w:pPr>
      <w:bookmarkStart w:id="21" w:name="_Toc16125"/>
      <w:r>
        <w:rPr>
          <w:rFonts w:hint="eastAsia" w:ascii="黑体" w:hAnsi="黑体" w:eastAsia="黑体" w:cs="黑体"/>
          <w:b w:val="0"/>
          <w:bCs/>
          <w:kern w:val="44"/>
          <w:sz w:val="32"/>
          <w:szCs w:val="32"/>
          <w:lang w:val="en-US" w:eastAsia="zh-CN" w:bidi="ar-SA"/>
        </w:rPr>
        <w:t>六、采购文件获取方式</w:t>
      </w:r>
      <w:bookmarkEnd w:id="20"/>
      <w:bookmarkEnd w:id="21"/>
    </w:p>
    <w:p w14:paraId="7C726511">
      <w:pPr>
        <w:ind w:firstLine="560" w:firstLineChars="200"/>
        <w:rPr>
          <w:rFonts w:hint="eastAsia"/>
          <w:lang w:val="en-US" w:eastAsia="zh-CN"/>
        </w:rPr>
      </w:pPr>
      <w:r>
        <w:rPr>
          <w:rFonts w:hint="eastAsia"/>
          <w:lang w:val="en-US" w:eastAsia="zh-CN"/>
        </w:rPr>
        <w:t>通过陕西省药械集中采购平台(http://sxsyxcg.sxggzyjy.cn/)下载相关文件。</w:t>
      </w:r>
    </w:p>
    <w:p w14:paraId="6D03F7F0">
      <w:pPr>
        <w:ind w:firstLine="640" w:firstLineChars="200"/>
        <w:outlineLvl w:val="1"/>
        <w:rPr>
          <w:rFonts w:hint="eastAsia" w:ascii="黑体" w:hAnsi="黑体" w:eastAsia="黑体" w:cs="黑体"/>
          <w:b w:val="0"/>
          <w:bCs/>
          <w:kern w:val="44"/>
          <w:sz w:val="32"/>
          <w:szCs w:val="32"/>
          <w:lang w:val="en-US" w:eastAsia="zh-CN" w:bidi="ar-SA"/>
        </w:rPr>
      </w:pPr>
      <w:bookmarkStart w:id="22" w:name="_Toc6552"/>
      <w:bookmarkStart w:id="23" w:name="_Toc11018"/>
      <w:r>
        <w:rPr>
          <w:rFonts w:hint="eastAsia" w:ascii="黑体" w:hAnsi="黑体" w:eastAsia="黑体" w:cs="黑体"/>
          <w:b w:val="0"/>
          <w:bCs/>
          <w:kern w:val="44"/>
          <w:sz w:val="32"/>
          <w:szCs w:val="32"/>
          <w:lang w:val="en-US" w:eastAsia="zh-CN" w:bidi="ar-SA"/>
        </w:rPr>
        <w:t>七、申报材料递交</w:t>
      </w:r>
      <w:bookmarkEnd w:id="22"/>
      <w:bookmarkEnd w:id="23"/>
    </w:p>
    <w:p w14:paraId="0709A94E">
      <w:pPr>
        <w:ind w:firstLine="56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递交方式：申报企业按采购文件要求提供相关</w:t>
      </w:r>
      <w:r>
        <w:rPr>
          <w:rFonts w:hint="eastAsia"/>
          <w:b w:val="0"/>
          <w:bCs w:val="0"/>
          <w:color w:val="000000" w:themeColor="text1"/>
          <w:lang w:eastAsia="zh-CN"/>
          <w14:textFill>
            <w14:solidFill>
              <w14:schemeClr w14:val="tx1"/>
            </w14:solidFill>
          </w14:textFill>
        </w:rPr>
        <w:t>申报</w:t>
      </w:r>
      <w:r>
        <w:rPr>
          <w:rFonts w:hint="eastAsia"/>
          <w:b w:val="0"/>
          <w:bCs w:val="0"/>
          <w:color w:val="000000" w:themeColor="text1"/>
          <w14:textFill>
            <w14:solidFill>
              <w14:schemeClr w14:val="tx1"/>
            </w14:solidFill>
          </w14:textFill>
        </w:rPr>
        <w:t>材料（详见采购文件第二</w:t>
      </w:r>
      <w:r>
        <w:rPr>
          <w:rFonts w:hint="eastAsia"/>
          <w:b w:val="0"/>
          <w:bCs w:val="0"/>
          <w:color w:val="000000" w:themeColor="text1"/>
          <w:lang w:eastAsia="zh-CN"/>
          <w14:textFill>
            <w14:solidFill>
              <w14:schemeClr w14:val="tx1"/>
            </w14:solidFill>
          </w14:textFill>
        </w:rPr>
        <w:t>部分</w:t>
      </w:r>
      <w:r>
        <w:rPr>
          <w:rFonts w:hint="eastAsia"/>
          <w:b w:val="0"/>
          <w:bCs w:val="0"/>
          <w:color w:val="000000" w:themeColor="text1"/>
          <w14:textFill>
            <w14:solidFill>
              <w14:schemeClr w14:val="tx1"/>
            </w14:solidFill>
          </w14:textFill>
        </w:rPr>
        <w:t>申报企业须知）</w:t>
      </w:r>
      <w:r>
        <w:rPr>
          <w:rFonts w:hint="eastAsia"/>
          <w:b w:val="0"/>
          <w:bCs w:val="0"/>
          <w:color w:val="000000" w:themeColor="text1"/>
          <w:lang w:eastAsia="zh-CN"/>
          <w14:textFill>
            <w14:solidFill>
              <w14:schemeClr w14:val="tx1"/>
            </w14:solidFill>
          </w14:textFill>
        </w:rPr>
        <w:t>具体递交方式、递交时间详见采购公告。</w:t>
      </w:r>
    </w:p>
    <w:p w14:paraId="22500FA9">
      <w:pPr>
        <w:ind w:firstLine="640" w:firstLineChars="200"/>
        <w:outlineLvl w:val="1"/>
        <w:rPr>
          <w:rFonts w:hint="eastAsia" w:ascii="黑体" w:hAnsi="黑体" w:eastAsia="黑体" w:cs="黑体"/>
          <w:b w:val="0"/>
          <w:bCs/>
          <w:kern w:val="44"/>
          <w:sz w:val="32"/>
          <w:szCs w:val="32"/>
          <w:lang w:val="en-US" w:eastAsia="zh-CN" w:bidi="ar-SA"/>
        </w:rPr>
      </w:pPr>
      <w:bookmarkStart w:id="24" w:name="_Toc2394"/>
      <w:bookmarkStart w:id="25" w:name="_Toc26033"/>
      <w:r>
        <w:rPr>
          <w:rFonts w:hint="eastAsia" w:ascii="黑体" w:hAnsi="黑体" w:eastAsia="黑体" w:cs="黑体"/>
          <w:b w:val="0"/>
          <w:bCs/>
          <w:kern w:val="44"/>
          <w:sz w:val="32"/>
          <w:szCs w:val="32"/>
          <w:lang w:val="en-US" w:eastAsia="zh-CN" w:bidi="ar-SA"/>
        </w:rPr>
        <w:t>八、信息公开渠道</w:t>
      </w:r>
      <w:bookmarkEnd w:id="24"/>
      <w:bookmarkEnd w:id="25"/>
    </w:p>
    <w:p w14:paraId="575312B1">
      <w:pPr>
        <w:ind w:firstLine="560" w:firstLineChars="200"/>
        <w:rPr>
          <w:rFonts w:hint="eastAsia"/>
          <w:lang w:val="en-US" w:eastAsia="zh-CN"/>
        </w:rPr>
      </w:pPr>
      <w:r>
        <w:rPr>
          <w:rFonts w:hint="eastAsia"/>
          <w:lang w:val="en-US" w:eastAsia="zh-CN"/>
        </w:rPr>
        <w:t>陕西省药械集中采购平台(http://sxsyxcg.sxggzyjy.cn/)及各联盟省份官网。</w:t>
      </w:r>
    </w:p>
    <w:p w14:paraId="5CF6A5FB">
      <w:pPr>
        <w:ind w:firstLine="640" w:firstLineChars="200"/>
        <w:outlineLvl w:val="1"/>
        <w:rPr>
          <w:rFonts w:hint="eastAsia" w:ascii="黑体" w:hAnsi="黑体" w:eastAsia="黑体" w:cs="黑体"/>
          <w:b w:val="0"/>
          <w:bCs/>
          <w:kern w:val="44"/>
          <w:sz w:val="32"/>
          <w:szCs w:val="32"/>
          <w:lang w:val="en-US" w:eastAsia="zh-CN" w:bidi="ar-SA"/>
        </w:rPr>
      </w:pPr>
      <w:bookmarkStart w:id="26" w:name="_Toc25666"/>
      <w:bookmarkStart w:id="27" w:name="_Toc9458"/>
      <w:r>
        <w:rPr>
          <w:rFonts w:hint="eastAsia" w:ascii="黑体" w:hAnsi="黑体" w:eastAsia="黑体" w:cs="黑体"/>
          <w:b w:val="0"/>
          <w:bCs/>
          <w:kern w:val="44"/>
          <w:sz w:val="32"/>
          <w:szCs w:val="32"/>
          <w:lang w:val="en-US" w:eastAsia="zh-CN" w:bidi="ar-SA"/>
        </w:rPr>
        <w:t>九、联系方式</w:t>
      </w:r>
      <w:bookmarkEnd w:id="26"/>
      <w:bookmarkEnd w:id="27"/>
    </w:p>
    <w:p w14:paraId="3B9CBD2B">
      <w:pPr>
        <w:ind w:firstLine="560" w:firstLineChars="200"/>
        <w:rPr>
          <w:rFonts w:hint="eastAsia"/>
        </w:rPr>
      </w:pPr>
      <w:r>
        <w:rPr>
          <w:rFonts w:hint="eastAsia"/>
          <w:lang w:val="en-US" w:eastAsia="zh-CN"/>
        </w:rPr>
        <w:t>联系电话：029-88661311（工作日下午14:00至17:00）</w:t>
      </w:r>
    </w:p>
    <w:p w14:paraId="56BA4B6F">
      <w:pPr>
        <w:ind w:firstLine="640" w:firstLineChars="200"/>
        <w:outlineLvl w:val="1"/>
        <w:rPr>
          <w:rFonts w:hint="eastAsia" w:ascii="黑体" w:hAnsi="黑体" w:eastAsia="黑体" w:cs="黑体"/>
          <w:b w:val="0"/>
          <w:bCs/>
          <w:kern w:val="44"/>
          <w:sz w:val="32"/>
          <w:szCs w:val="32"/>
          <w:lang w:val="en-US" w:eastAsia="zh-CN" w:bidi="ar-SA"/>
        </w:rPr>
      </w:pPr>
      <w:bookmarkStart w:id="28" w:name="_Toc7213"/>
      <w:bookmarkStart w:id="29" w:name="_Toc27201"/>
      <w:r>
        <w:rPr>
          <w:rFonts w:hint="eastAsia" w:ascii="黑体" w:hAnsi="黑体" w:eastAsia="黑体" w:cs="黑体"/>
          <w:b w:val="0"/>
          <w:bCs/>
          <w:kern w:val="44"/>
          <w:sz w:val="32"/>
          <w:szCs w:val="32"/>
          <w:lang w:val="en-US" w:eastAsia="zh-CN" w:bidi="ar-SA"/>
        </w:rPr>
        <w:t>十、最终解释权</w:t>
      </w:r>
      <w:bookmarkEnd w:id="28"/>
      <w:bookmarkEnd w:id="29"/>
    </w:p>
    <w:p w14:paraId="705BB719">
      <w:pPr>
        <w:ind w:firstLine="560" w:firstLineChars="200"/>
        <w:rPr>
          <w:rFonts w:hint="eastAsia"/>
          <w:lang w:val="en-US" w:eastAsia="zh-CN"/>
        </w:rPr>
      </w:pPr>
      <w:r>
        <w:rPr>
          <w:rFonts w:hint="eastAsia"/>
          <w:lang w:val="en-US" w:eastAsia="zh-CN"/>
        </w:rPr>
        <w:t>本采购文件仅适用于本次集中带量采购所述项目的医用耗材及相关服务，最终解释权归省际联盟联合采购办公室。</w:t>
      </w:r>
    </w:p>
    <w:p w14:paraId="4B872383">
      <w:pPr>
        <w:ind w:firstLine="640" w:firstLineChars="200"/>
        <w:outlineLvl w:val="1"/>
        <w:rPr>
          <w:rFonts w:hint="eastAsia" w:ascii="黑体" w:hAnsi="黑体" w:eastAsia="黑体" w:cs="黑体"/>
          <w:b w:val="0"/>
          <w:bCs/>
          <w:kern w:val="44"/>
          <w:sz w:val="32"/>
          <w:szCs w:val="32"/>
          <w:lang w:val="en-US" w:eastAsia="zh-CN" w:bidi="ar-SA"/>
        </w:rPr>
      </w:pPr>
      <w:bookmarkStart w:id="30" w:name="_Toc2053"/>
      <w:bookmarkStart w:id="31" w:name="_Toc23556"/>
      <w:r>
        <w:rPr>
          <w:rFonts w:hint="eastAsia" w:ascii="黑体" w:hAnsi="黑体" w:eastAsia="黑体" w:cs="黑体"/>
          <w:b w:val="0"/>
          <w:bCs/>
          <w:kern w:val="44"/>
          <w:sz w:val="32"/>
          <w:szCs w:val="32"/>
          <w:lang w:val="en-US" w:eastAsia="zh-CN" w:bidi="ar-SA"/>
        </w:rPr>
        <w:t>十一、其他</w:t>
      </w:r>
      <w:bookmarkEnd w:id="30"/>
      <w:bookmarkEnd w:id="31"/>
    </w:p>
    <w:p w14:paraId="0910EFB2">
      <w:pPr>
        <w:ind w:firstLine="560" w:firstLineChars="200"/>
        <w:rPr>
          <w:rFonts w:hint="eastAsia"/>
          <w:lang w:val="en-US" w:eastAsia="zh-CN"/>
        </w:rPr>
      </w:pPr>
      <w:r>
        <w:rPr>
          <w:rFonts w:hint="eastAsia"/>
          <w:lang w:val="en-US" w:eastAsia="zh-CN"/>
        </w:rPr>
        <w:t>（一）省际联盟联合采购办公室已通过自我审查的方式开展公平竞争审查，本次集中带量采购相关文件不具有排除、限制竞争情形。</w:t>
      </w:r>
    </w:p>
    <w:p w14:paraId="6E1C395A">
      <w:pPr>
        <w:ind w:firstLine="560" w:firstLineChars="200"/>
        <w:rPr>
          <w:rFonts w:hint="eastAsia"/>
          <w:lang w:val="en-US" w:eastAsia="zh-CN"/>
        </w:rPr>
      </w:pPr>
      <w:r>
        <w:rPr>
          <w:rFonts w:hint="eastAsia"/>
          <w:lang w:val="en-US" w:eastAsia="zh-CN"/>
        </w:rPr>
        <w:t>（二）联盟地区按有关工作要求，制定确保中选产品质量、供应、使用以及医疗机构及时回款的配套措施。</w:t>
      </w:r>
    </w:p>
    <w:p w14:paraId="3A264E10">
      <w:pPr>
        <w:ind w:firstLine="560" w:firstLineChars="200"/>
        <w:rPr>
          <w:rFonts w:hint="eastAsia"/>
          <w:lang w:val="en-US" w:eastAsia="zh-CN"/>
        </w:rPr>
      </w:pPr>
      <w:r>
        <w:rPr>
          <w:rFonts w:hint="eastAsia"/>
          <w:lang w:val="en-US" w:eastAsia="zh-CN"/>
        </w:rPr>
        <w:t>（三）如因不可抗力，本次集中带量采购相关工作需进行调整的，省际联盟联合采购办公室发文另行通知。</w:t>
      </w:r>
    </w:p>
    <w:p w14:paraId="1A624CC1">
      <w:pPr>
        <w:ind w:firstLine="560" w:firstLineChars="200"/>
        <w:rPr>
          <w:rFonts w:hint="eastAsia"/>
          <w:lang w:val="en-US" w:eastAsia="zh-CN"/>
        </w:rPr>
      </w:pPr>
      <w:r>
        <w:rPr>
          <w:rFonts w:hint="eastAsia"/>
          <w:lang w:val="en-US" w:eastAsia="zh-CN"/>
        </w:rPr>
        <w:t>（四）未尽事宜由省际联盟联合采购办公室成员单位协商确定。</w:t>
      </w:r>
    </w:p>
    <w:p w14:paraId="4E1416A1">
      <w:pPr>
        <w:ind w:firstLine="640" w:firstLineChars="200"/>
        <w:outlineLvl w:val="1"/>
        <w:rPr>
          <w:rFonts w:hint="eastAsia" w:ascii="黑体" w:hAnsi="黑体" w:eastAsia="黑体" w:cs="黑体"/>
          <w:b w:val="0"/>
          <w:bCs/>
          <w:kern w:val="44"/>
          <w:sz w:val="32"/>
          <w:szCs w:val="32"/>
          <w:lang w:val="en-US" w:eastAsia="zh-CN" w:bidi="ar-SA"/>
        </w:rPr>
      </w:pPr>
      <w:bookmarkStart w:id="32" w:name="_Toc980"/>
      <w:bookmarkStart w:id="33" w:name="_Toc7786"/>
      <w:r>
        <w:rPr>
          <w:rFonts w:hint="eastAsia" w:ascii="黑体" w:hAnsi="黑体" w:eastAsia="黑体" w:cs="黑体"/>
          <w:b w:val="0"/>
          <w:bCs/>
          <w:kern w:val="44"/>
          <w:sz w:val="32"/>
          <w:szCs w:val="32"/>
          <w:lang w:val="en-US" w:eastAsia="zh-CN" w:bidi="ar-SA"/>
        </w:rPr>
        <w:t>十二、监督机构</w:t>
      </w:r>
      <w:bookmarkEnd w:id="32"/>
      <w:bookmarkEnd w:id="33"/>
    </w:p>
    <w:p w14:paraId="22346140">
      <w:pPr>
        <w:ind w:firstLine="560" w:firstLineChars="200"/>
        <w:rPr>
          <w:rFonts w:hint="eastAsia"/>
          <w:lang w:val="en-US" w:eastAsia="zh-CN"/>
        </w:rPr>
      </w:pPr>
      <w:r>
        <w:rPr>
          <w:rFonts w:hint="eastAsia"/>
          <w:lang w:val="en-US" w:eastAsia="zh-CN"/>
        </w:rPr>
        <w:t>监督组由纪检</w:t>
      </w:r>
      <w:r>
        <w:rPr>
          <w:rFonts w:hint="eastAsia"/>
          <w:b w:val="0"/>
          <w:bCs w:val="0"/>
          <w:lang w:val="en-US" w:eastAsia="zh-CN"/>
        </w:rPr>
        <w:t>部</w:t>
      </w:r>
      <w:r>
        <w:rPr>
          <w:rFonts w:hint="eastAsia"/>
          <w:b w:val="0"/>
          <w:bCs w:val="0"/>
          <w:color w:val="000000" w:themeColor="text1"/>
          <w:lang w:val="en-US" w:eastAsia="zh-CN"/>
          <w14:textFill>
            <w14:solidFill>
              <w14:schemeClr w14:val="tx1"/>
            </w14:solidFill>
          </w14:textFill>
        </w:rPr>
        <w:t>门、公证处相关人员组成，</w:t>
      </w:r>
      <w:r>
        <w:rPr>
          <w:rFonts w:hint="eastAsia"/>
          <w:color w:val="000000" w:themeColor="text1"/>
          <w:lang w:val="en-US" w:eastAsia="zh-CN"/>
          <w14:textFill>
            <w14:solidFill>
              <w14:schemeClr w14:val="tx1"/>
            </w14:solidFill>
          </w14:textFill>
        </w:rPr>
        <w:t>负责双腔起搏器类集中带量采购工作的全程监督。</w:t>
      </w:r>
    </w:p>
    <w:p w14:paraId="5758982E">
      <w:pPr>
        <w:ind w:firstLine="560" w:firstLineChars="200"/>
        <w:rPr>
          <w:rFonts w:hint="eastAsia"/>
          <w:lang w:val="en-US" w:eastAsia="zh-CN"/>
        </w:rPr>
      </w:pPr>
    </w:p>
    <w:p w14:paraId="45072F31">
      <w:pPr>
        <w:rPr>
          <w:rFonts w:hint="eastAsia" w:eastAsia="仿宋"/>
          <w:lang w:eastAsia="zh-CN"/>
        </w:rPr>
      </w:pPr>
    </w:p>
    <w:p w14:paraId="75367468">
      <w:pPr>
        <w:pStyle w:val="13"/>
        <w:rPr>
          <w:rFonts w:hint="eastAsia" w:eastAsia="仿宋"/>
          <w:lang w:eastAsia="zh-CN"/>
        </w:rPr>
      </w:pPr>
    </w:p>
    <w:p w14:paraId="3F3F468F">
      <w:pPr>
        <w:pStyle w:val="13"/>
        <w:rPr>
          <w:rFonts w:hint="eastAsia" w:eastAsia="仿宋"/>
          <w:lang w:eastAsia="zh-CN"/>
        </w:rPr>
      </w:pPr>
    </w:p>
    <w:p w14:paraId="0FFEEAD4">
      <w:pPr>
        <w:pStyle w:val="13"/>
        <w:rPr>
          <w:rFonts w:hint="eastAsia" w:eastAsia="仿宋"/>
          <w:lang w:eastAsia="zh-CN"/>
        </w:rPr>
      </w:pPr>
    </w:p>
    <w:p w14:paraId="7002AAF3">
      <w:pPr>
        <w:pStyle w:val="13"/>
        <w:rPr>
          <w:rFonts w:hint="eastAsia" w:eastAsia="仿宋"/>
          <w:lang w:eastAsia="zh-CN"/>
        </w:rPr>
      </w:pPr>
    </w:p>
    <w:p w14:paraId="2710303C">
      <w:pPr>
        <w:pStyle w:val="13"/>
        <w:rPr>
          <w:rFonts w:hint="eastAsia" w:eastAsia="仿宋"/>
          <w:lang w:eastAsia="zh-CN"/>
        </w:rPr>
      </w:pPr>
    </w:p>
    <w:p w14:paraId="13A0C32B">
      <w:pPr>
        <w:pStyle w:val="13"/>
        <w:rPr>
          <w:rFonts w:hint="eastAsia" w:eastAsia="仿宋"/>
          <w:lang w:eastAsia="zh-CN"/>
        </w:rPr>
      </w:pPr>
    </w:p>
    <w:p w14:paraId="4EC43F44">
      <w:pPr>
        <w:pStyle w:val="13"/>
        <w:rPr>
          <w:rFonts w:hint="eastAsia" w:eastAsia="仿宋"/>
          <w:lang w:eastAsia="zh-CN"/>
        </w:rPr>
      </w:pPr>
    </w:p>
    <w:p w14:paraId="1DC8C967">
      <w:pPr>
        <w:pStyle w:val="13"/>
        <w:rPr>
          <w:rFonts w:hint="eastAsia" w:eastAsia="仿宋"/>
          <w:lang w:eastAsia="zh-CN"/>
        </w:rPr>
      </w:pPr>
    </w:p>
    <w:p w14:paraId="1D592449">
      <w:pPr>
        <w:pStyle w:val="13"/>
        <w:rPr>
          <w:rFonts w:hint="eastAsia" w:eastAsia="仿宋"/>
          <w:lang w:eastAsia="zh-CN"/>
        </w:rPr>
      </w:pPr>
    </w:p>
    <w:p w14:paraId="64E14B35">
      <w:pPr>
        <w:pStyle w:val="13"/>
        <w:rPr>
          <w:rFonts w:hint="eastAsia" w:eastAsia="仿宋"/>
          <w:lang w:eastAsia="zh-CN"/>
        </w:rPr>
      </w:pPr>
    </w:p>
    <w:p w14:paraId="66EA66D3">
      <w:pPr>
        <w:pStyle w:val="13"/>
        <w:rPr>
          <w:rFonts w:hint="eastAsia" w:eastAsia="仿宋"/>
          <w:lang w:eastAsia="zh-CN"/>
        </w:rPr>
      </w:pPr>
    </w:p>
    <w:p w14:paraId="0C3C8C1D">
      <w:pPr>
        <w:pStyle w:val="13"/>
        <w:rPr>
          <w:rFonts w:hint="eastAsia" w:eastAsia="仿宋"/>
          <w:lang w:eastAsia="zh-CN"/>
        </w:rPr>
      </w:pPr>
    </w:p>
    <w:p w14:paraId="5A93ADCB">
      <w:pPr>
        <w:pStyle w:val="13"/>
        <w:rPr>
          <w:rFonts w:hint="eastAsia" w:eastAsia="仿宋"/>
          <w:lang w:eastAsia="zh-CN"/>
        </w:rPr>
      </w:pPr>
    </w:p>
    <w:p w14:paraId="4FE979EC">
      <w:pPr>
        <w:pStyle w:val="13"/>
        <w:rPr>
          <w:rFonts w:hint="eastAsia" w:eastAsia="仿宋"/>
          <w:lang w:eastAsia="zh-CN"/>
        </w:rPr>
      </w:pPr>
    </w:p>
    <w:p w14:paraId="7085600A">
      <w:pPr>
        <w:pStyle w:val="13"/>
        <w:rPr>
          <w:rFonts w:hint="eastAsia" w:eastAsia="仿宋"/>
          <w:lang w:eastAsia="zh-CN"/>
        </w:rPr>
      </w:pPr>
    </w:p>
    <w:p w14:paraId="33561F6E">
      <w:pPr>
        <w:pStyle w:val="13"/>
        <w:rPr>
          <w:rFonts w:hint="eastAsia" w:eastAsia="仿宋"/>
          <w:lang w:eastAsia="zh-CN"/>
        </w:rPr>
      </w:pPr>
    </w:p>
    <w:p w14:paraId="3D64BA12">
      <w:pPr>
        <w:numPr>
          <w:ilvl w:val="0"/>
          <w:numId w:val="1"/>
        </w:numPr>
        <w:shd w:val="clear" w:color="auto" w:fill="FFFFFF"/>
        <w:spacing w:line="700" w:lineRule="exact"/>
        <w:jc w:val="center"/>
        <w:outlineLvl w:val="0"/>
        <w:rPr>
          <w:rFonts w:hint="eastAsia" w:ascii="方正小标宋简体" w:hAnsi="方正小标宋简体" w:eastAsia="方正小标宋简体" w:cs="方正小标宋简体"/>
          <w:color w:val="000000"/>
          <w:kern w:val="0"/>
          <w:sz w:val="48"/>
          <w:szCs w:val="48"/>
          <w:shd w:val="clear" w:color="auto" w:fill="FFFFFF"/>
          <w:lang w:bidi="ar"/>
        </w:rPr>
      </w:pPr>
      <w:bookmarkStart w:id="34" w:name="_Toc26467"/>
      <w:bookmarkStart w:id="35" w:name="_Toc30343"/>
      <w:r>
        <w:rPr>
          <w:rFonts w:hint="eastAsia" w:ascii="方正小标宋简体" w:hAnsi="方正小标宋简体" w:eastAsia="方正小标宋简体" w:cs="方正小标宋简体"/>
          <w:color w:val="000000"/>
          <w:kern w:val="0"/>
          <w:sz w:val="48"/>
          <w:szCs w:val="48"/>
          <w:shd w:val="clear" w:color="auto" w:fill="FFFFFF"/>
          <w:lang w:bidi="ar"/>
        </w:rPr>
        <w:t>申报企业须知</w:t>
      </w:r>
      <w:bookmarkEnd w:id="34"/>
      <w:bookmarkEnd w:id="35"/>
    </w:p>
    <w:p w14:paraId="6036F560">
      <w:pPr>
        <w:rPr>
          <w:rFonts w:hint="eastAsia"/>
        </w:rPr>
      </w:pPr>
    </w:p>
    <w:p w14:paraId="60FD9E27">
      <w:pPr>
        <w:ind w:firstLine="640" w:firstLineChars="200"/>
        <w:outlineLvl w:val="1"/>
        <w:rPr>
          <w:rFonts w:hint="eastAsia"/>
        </w:rPr>
      </w:pPr>
      <w:bookmarkStart w:id="36" w:name="_Toc23082"/>
      <w:bookmarkStart w:id="37" w:name="_Toc31676"/>
      <w:r>
        <w:rPr>
          <w:rFonts w:hint="eastAsia" w:ascii="黑体" w:hAnsi="黑体" w:eastAsia="黑体" w:cs="黑体"/>
          <w:b w:val="0"/>
          <w:bCs/>
          <w:kern w:val="44"/>
          <w:sz w:val="32"/>
          <w:szCs w:val="32"/>
          <w:lang w:val="en-US" w:eastAsia="zh-CN" w:bidi="ar-SA"/>
        </w:rPr>
        <w:t>一、申报要求</w:t>
      </w:r>
      <w:bookmarkEnd w:id="36"/>
      <w:bookmarkEnd w:id="37"/>
    </w:p>
    <w:p w14:paraId="55C9A697">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（一）申报企业</w:t>
      </w:r>
    </w:p>
    <w:p w14:paraId="5015C6BC">
      <w:pPr>
        <w:ind w:firstLine="560" w:firstLineChars="200"/>
        <w:rPr>
          <w:rFonts w:hint="eastAsia"/>
          <w:lang w:val="en-US" w:eastAsia="zh-CN"/>
        </w:rPr>
      </w:pPr>
      <w:r>
        <w:rPr>
          <w:rFonts w:hint="eastAsia"/>
          <w:lang w:val="en-US" w:eastAsia="zh-CN"/>
        </w:rPr>
        <w:t>申报企业应当具备以下条件：</w:t>
      </w:r>
    </w:p>
    <w:p w14:paraId="7261BE87">
      <w:pPr>
        <w:ind w:firstLine="560" w:firstLineChars="200"/>
        <w:rPr>
          <w:rFonts w:hint="eastAsia"/>
          <w:lang w:val="en-US" w:eastAsia="zh-CN"/>
        </w:rPr>
      </w:pPr>
      <w:r>
        <w:rPr>
          <w:rFonts w:hint="eastAsia"/>
          <w:lang w:val="en-US" w:eastAsia="zh-CN"/>
        </w:rPr>
        <w:t>1.申报企业应遵守《中华人民共和国专利法》《中华人民共和国反不正当竞争法》等相关法律法规。取得双腔起搏器类产品合法资质的医疗器械注册人作为申报企业，均可参加。其中，境外医疗器械注册人（备案人）应当指定我国境内企业法人协助其履行相应的法律义务。同一医疗器械注册人（备案人）的同一产品系统不得委托不同企业进行申报。</w:t>
      </w:r>
    </w:p>
    <w:p w14:paraId="44B8A448">
      <w:pPr>
        <w:ind w:firstLine="560" w:firstLineChars="200"/>
        <w:rPr>
          <w:rFonts w:hint="eastAsia"/>
          <w:lang w:val="en-US" w:eastAsia="zh-CN"/>
        </w:rPr>
      </w:pPr>
      <w:r>
        <w:rPr>
          <w:rFonts w:hint="eastAsia"/>
          <w:lang w:val="en-US" w:eastAsia="zh-CN"/>
        </w:rPr>
        <w:t>2.截至申报期结束之日，申报企业未被列入当前《全国医药价格和招采失信企业风险警示名单》，未被国家组织高值医用耗材联合采购办公室列入“违规名单”，未被国家或联盟地区依据医药价格和招采信用评价制度评定为“严重”或“特别严重”失信等级。</w:t>
      </w:r>
    </w:p>
    <w:p w14:paraId="7D74253E">
      <w:pPr>
        <w:ind w:firstLine="560" w:firstLineChars="200"/>
        <w:rPr>
          <w:rFonts w:hint="eastAsia"/>
          <w:lang w:val="en-US" w:eastAsia="zh-CN"/>
        </w:rPr>
      </w:pPr>
      <w:r>
        <w:rPr>
          <w:rFonts w:hint="eastAsia"/>
          <w:lang w:val="en-US" w:eastAsia="zh-CN"/>
        </w:rPr>
        <w:t>3.申报企业须依据医药价格和招采信用评价制度向联盟集采办公室作出承诺，该承诺将根据工作需要进行公开。</w:t>
      </w:r>
    </w:p>
    <w:p w14:paraId="0E874E79">
      <w:pPr>
        <w:ind w:firstLine="560" w:firstLineChars="200"/>
        <w:rPr>
          <w:rFonts w:hint="eastAsia"/>
          <w:lang w:val="en-US" w:eastAsia="zh-CN"/>
        </w:rPr>
      </w:pPr>
      <w:r>
        <w:rPr>
          <w:rFonts w:hint="eastAsia"/>
          <w:lang w:val="en-US" w:eastAsia="zh-CN"/>
        </w:rPr>
        <w:t>4.申报企业应承诺中选产品在采购周期内满足联盟地区采购需求，保持带量采购前后伴随服务供给的延续性。</w:t>
      </w:r>
    </w:p>
    <w:p w14:paraId="1CF9773B">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（二）申报产品</w:t>
      </w:r>
    </w:p>
    <w:p w14:paraId="58F362E6">
      <w:pPr>
        <w:ind w:firstLine="560" w:firstLineChars="200"/>
        <w:rPr>
          <w:rFonts w:hint="eastAsia"/>
          <w:lang w:val="en-US" w:eastAsia="zh-CN"/>
        </w:rPr>
      </w:pPr>
      <w:r>
        <w:rPr>
          <w:rFonts w:hint="eastAsia"/>
          <w:lang w:val="en-US" w:eastAsia="zh-CN"/>
        </w:rPr>
        <w:t>1.申报产品应属于采购品种范围并获得有效中华人民共和国医疗器械注册证和国家医保医用耗材分类与代码，符合国家有关部门的质量标准要求，并按国家有关部门要求组织生产。</w:t>
      </w:r>
    </w:p>
    <w:p w14:paraId="76D74D59">
      <w:pPr>
        <w:ind w:firstLine="560" w:firstLineChars="200"/>
        <w:rPr>
          <w:rFonts w:hint="eastAsia"/>
          <w:lang w:val="en-US" w:eastAsia="zh-CN"/>
        </w:rPr>
      </w:pPr>
      <w:r>
        <w:rPr>
          <w:rFonts w:hint="eastAsia"/>
          <w:lang w:val="en-US" w:eastAsia="zh-CN"/>
        </w:rPr>
        <w:t>2.2021年以来，申报产品不存在省级（含）以上药品监督管理部门质量检验不合格情况;申报企业不存在因申报产品质量等问题被省级（含）以上药品监督管理部门处罚过的情况。</w:t>
      </w:r>
    </w:p>
    <w:p w14:paraId="29643404">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（三）其他要求</w:t>
      </w:r>
    </w:p>
    <w:p w14:paraId="08E01E56">
      <w:pPr>
        <w:ind w:firstLine="560" w:firstLineChars="200"/>
        <w:rPr>
          <w:rFonts w:hint="eastAsia"/>
          <w:lang w:val="en-US" w:eastAsia="zh-CN"/>
        </w:rPr>
      </w:pPr>
      <w:r>
        <w:rPr>
          <w:rFonts w:hint="eastAsia"/>
          <w:lang w:val="en-US" w:eastAsia="zh-CN"/>
        </w:rPr>
        <w:t>1.若申报企业不具备申报资格中规定必须满足的全部要求或涉嫌提供虚假证明材料的，一经确认，省际联盟联合采购办公室将视其为无效申报；情节严重的，列入“违规名单”，作出相应处置。</w:t>
      </w:r>
    </w:p>
    <w:p w14:paraId="290BFB27">
      <w:pPr>
        <w:ind w:firstLine="560" w:firstLineChars="200"/>
        <w:rPr>
          <w:rFonts w:hint="eastAsia"/>
          <w:lang w:val="en-US" w:eastAsia="zh-CN"/>
        </w:rPr>
      </w:pPr>
      <w:r>
        <w:rPr>
          <w:rFonts w:hint="eastAsia"/>
          <w:lang w:val="en-US" w:eastAsia="zh-CN"/>
        </w:rPr>
        <w:t>2.省际联盟联合采购办公室根据工作需要可对中选产品生产及中选产品质量进行调查（调查形式根据实际情况确定），中选企业应予以积极配合。</w:t>
      </w:r>
    </w:p>
    <w:p w14:paraId="3CCA01DB">
      <w:pPr>
        <w:ind w:firstLine="560" w:firstLineChars="200"/>
        <w:rPr>
          <w:rFonts w:hint="eastAsia"/>
          <w:lang w:val="en-US" w:eastAsia="zh-CN"/>
        </w:rPr>
      </w:pPr>
      <w:r>
        <w:rPr>
          <w:rFonts w:hint="eastAsia"/>
          <w:lang w:val="en-US" w:eastAsia="zh-CN"/>
        </w:rPr>
        <w:t>3.申报企业中选后，须按联盟地区要求签订采购协议。</w:t>
      </w:r>
    </w:p>
    <w:p w14:paraId="1A018EEE">
      <w:pPr>
        <w:ind w:firstLine="560" w:firstLineChars="200"/>
        <w:rPr>
          <w:rFonts w:hint="eastAsia"/>
          <w:lang w:val="en-US" w:eastAsia="zh-CN"/>
        </w:rPr>
      </w:pPr>
      <w:r>
        <w:rPr>
          <w:rFonts w:hint="eastAsia"/>
          <w:lang w:val="en-US" w:eastAsia="zh-CN"/>
        </w:rPr>
        <w:t>4.在采购协议履行过程中，如遇国家政策调整或不可抗力，影响协议履行的，由采购协议各签订方协商解决。</w:t>
      </w:r>
    </w:p>
    <w:p w14:paraId="5BA1164E">
      <w:pPr>
        <w:ind w:firstLine="640" w:firstLineChars="200"/>
        <w:outlineLvl w:val="1"/>
        <w:rPr>
          <w:rFonts w:hint="eastAsia" w:ascii="黑体" w:hAnsi="黑体" w:eastAsia="黑体" w:cs="黑体"/>
          <w:b w:val="0"/>
          <w:bCs/>
          <w:kern w:val="44"/>
          <w:sz w:val="32"/>
          <w:szCs w:val="32"/>
          <w:lang w:val="en-US" w:eastAsia="zh-CN" w:bidi="ar-SA"/>
        </w:rPr>
      </w:pPr>
      <w:bookmarkStart w:id="38" w:name="_Toc30895"/>
      <w:bookmarkStart w:id="39" w:name="_Toc9116"/>
      <w:bookmarkStart w:id="40" w:name="_Toc24109"/>
      <w:bookmarkStart w:id="41" w:name="_Toc25888"/>
      <w:r>
        <w:rPr>
          <w:rFonts w:hint="eastAsia" w:ascii="黑体" w:hAnsi="黑体" w:eastAsia="黑体" w:cs="黑体"/>
          <w:b w:val="0"/>
          <w:bCs/>
          <w:kern w:val="44"/>
          <w:sz w:val="32"/>
          <w:szCs w:val="32"/>
          <w:lang w:val="en-US" w:eastAsia="zh-CN" w:bidi="ar-SA"/>
        </w:rPr>
        <w:t>二、申报材料编制</w:t>
      </w:r>
      <w:bookmarkEnd w:id="38"/>
      <w:bookmarkEnd w:id="39"/>
      <w:bookmarkEnd w:id="40"/>
      <w:bookmarkEnd w:id="41"/>
    </w:p>
    <w:p w14:paraId="3DB68BE4">
      <w:pPr>
        <w:ind w:firstLine="562" w:firstLineChars="200"/>
        <w:outlineLvl w:val="2"/>
        <w:rPr>
          <w:rFonts w:hint="eastAsia"/>
          <w:b/>
          <w:bCs/>
        </w:rPr>
      </w:pPr>
      <w:r>
        <w:rPr>
          <w:rFonts w:hint="eastAsia"/>
          <w:b/>
          <w:bCs/>
        </w:rPr>
        <w:t>（一）编制要求</w:t>
      </w:r>
    </w:p>
    <w:p w14:paraId="6F1515A3">
      <w:pPr>
        <w:ind w:firstLine="560" w:firstLineChars="200"/>
        <w:rPr>
          <w:rFonts w:hint="eastAsia"/>
          <w:lang w:val="en-US" w:eastAsia="zh-CN"/>
        </w:rPr>
      </w:pPr>
      <w:r>
        <w:rPr>
          <w:rFonts w:hint="eastAsia"/>
          <w:lang w:val="en-US" w:eastAsia="zh-CN"/>
        </w:rPr>
        <w:t>申报企业应仔细阅读本采购文件全部内容，按采购文件的要求提供申报材料，并保证所提供的全部材料真实有效。申报材料涉及有效期限的，必须在申报信息公开当日仍在有效期内。如果由于申报企业没有按照采购文件的要求提交完整材料，或者提交的申报材料没有对采购文件作出响应、申报材料内容不实等原因，影响中选结果的，由申报企业自行负责。</w:t>
      </w:r>
    </w:p>
    <w:p w14:paraId="66553115">
      <w:pPr>
        <w:ind w:firstLine="562" w:firstLineChars="200"/>
        <w:outlineLvl w:val="2"/>
        <w:rPr>
          <w:rFonts w:hint="eastAsia"/>
          <w:b/>
          <w:bCs/>
        </w:rPr>
      </w:pPr>
      <w:r>
        <w:rPr>
          <w:rFonts w:hint="eastAsia"/>
          <w:b/>
          <w:bCs/>
        </w:rPr>
        <w:t>（二）申报语言、计量单位和医用耗材名称、医用耗材规格型号表示</w:t>
      </w:r>
    </w:p>
    <w:p w14:paraId="4E36C5CF">
      <w:pPr>
        <w:ind w:firstLine="560" w:firstLineChars="200"/>
        <w:rPr>
          <w:rFonts w:hint="eastAsia"/>
          <w:lang w:val="en-US" w:eastAsia="zh-CN"/>
        </w:rPr>
      </w:pPr>
      <w:r>
        <w:rPr>
          <w:rFonts w:hint="eastAsia"/>
          <w:lang w:val="en-US" w:eastAsia="zh-CN"/>
        </w:rPr>
        <w:t>1.申报企业与省际联盟联合采购办公室就申报递交的材料、交换的文件和来往信件，一律以中文书写（如外文文件需在中华人民共和国境内公证处进行公证，确保翻译内容与外文文件一致）。</w:t>
      </w:r>
    </w:p>
    <w:p w14:paraId="5461092C">
      <w:pPr>
        <w:ind w:firstLine="560" w:firstLineChars="200"/>
        <w:rPr>
          <w:rFonts w:hint="eastAsia"/>
          <w:lang w:val="en-US" w:eastAsia="zh-CN"/>
        </w:rPr>
      </w:pPr>
      <w:r>
        <w:rPr>
          <w:rFonts w:hint="eastAsia"/>
          <w:lang w:val="en-US" w:eastAsia="zh-CN"/>
        </w:rPr>
        <w:t>2.除申报材料中对技术规格另有规定外，应使用中华人民共和国法定计量单位和有关部门规定的医用耗材名称，医用耗材规格型号表示方法。</w:t>
      </w:r>
    </w:p>
    <w:p w14:paraId="44D3A665">
      <w:pPr>
        <w:ind w:firstLine="562" w:firstLineChars="200"/>
        <w:outlineLvl w:val="2"/>
        <w:rPr>
          <w:rFonts w:hint="eastAsia"/>
          <w:b/>
          <w:bCs/>
        </w:rPr>
      </w:pPr>
      <w:r>
        <w:rPr>
          <w:rFonts w:hint="eastAsia"/>
          <w:b/>
          <w:bCs/>
        </w:rPr>
        <w:t>（三）申报材料的构成</w:t>
      </w:r>
    </w:p>
    <w:p w14:paraId="0DAB5C68">
      <w:pPr>
        <w:ind w:firstLine="560" w:firstLineChars="200"/>
        <w:rPr>
          <w:rFonts w:hint="eastAsia"/>
          <w:lang w:val="en-US" w:eastAsia="zh-CN"/>
        </w:rPr>
      </w:pPr>
      <w:r>
        <w:rPr>
          <w:rFonts w:hint="eastAsia"/>
          <w:lang w:val="en-US" w:eastAsia="zh-CN"/>
        </w:rPr>
        <w:t>构成如下（每页均需加盖申报企业公章）：</w:t>
      </w:r>
    </w:p>
    <w:p w14:paraId="58CB4942">
      <w:pPr>
        <w:ind w:firstLine="560" w:firstLineChars="200"/>
        <w:rPr>
          <w:rFonts w:hint="eastAsia"/>
          <w:lang w:val="en-US" w:eastAsia="zh-CN"/>
        </w:rPr>
      </w:pPr>
      <w:r>
        <w:rPr>
          <w:rFonts w:hint="eastAsia"/>
          <w:lang w:val="en-US" w:eastAsia="zh-CN"/>
        </w:rPr>
        <w:t>1.企业申报封面（按格式文件1-1）</w:t>
      </w:r>
    </w:p>
    <w:p w14:paraId="5C61CB72">
      <w:pPr>
        <w:ind w:firstLine="560" w:firstLineChars="200"/>
        <w:rPr>
          <w:rFonts w:hint="eastAsia"/>
          <w:lang w:val="en-US" w:eastAsia="zh-CN"/>
        </w:rPr>
      </w:pPr>
      <w:r>
        <w:rPr>
          <w:rFonts w:hint="eastAsia"/>
          <w:lang w:val="en-US" w:eastAsia="zh-CN"/>
        </w:rPr>
        <w:t>2.法定代表人授权书（格式文件1-2）</w:t>
      </w:r>
    </w:p>
    <w:p w14:paraId="657840AA">
      <w:pPr>
        <w:ind w:firstLine="560" w:firstLineChars="200"/>
        <w:rPr>
          <w:rFonts w:hint="eastAsia"/>
          <w:lang w:val="en-US" w:eastAsia="zh-CN"/>
        </w:rPr>
      </w:pPr>
      <w:r>
        <w:rPr>
          <w:rFonts w:hint="eastAsia"/>
          <w:lang w:val="en-US" w:eastAsia="zh-CN"/>
        </w:rPr>
        <w:t>3.承诺函（格式文件1-3）。</w:t>
      </w:r>
    </w:p>
    <w:p w14:paraId="12B7C102">
      <w:pPr>
        <w:ind w:firstLine="560" w:firstLineChars="200"/>
        <w:rPr>
          <w:rFonts w:hint="eastAsia"/>
          <w:lang w:val="en-US" w:eastAsia="zh-CN"/>
        </w:rPr>
      </w:pPr>
      <w:r>
        <w:rPr>
          <w:rFonts w:hint="eastAsia"/>
          <w:lang w:val="en-US" w:eastAsia="zh-CN"/>
        </w:rPr>
        <w:t>4.产品申报表（格式文件1-4）。</w:t>
      </w:r>
    </w:p>
    <w:p w14:paraId="5572B3DE">
      <w:pPr>
        <w:ind w:firstLine="560" w:firstLineChars="200"/>
        <w:rPr>
          <w:rFonts w:hint="eastAsia"/>
          <w:lang w:val="en-US" w:eastAsia="zh-CN"/>
        </w:rPr>
      </w:pPr>
      <w:r>
        <w:rPr>
          <w:rFonts w:hint="eastAsia"/>
          <w:lang w:val="en-US" w:eastAsia="zh-CN"/>
        </w:rPr>
        <w:t>申报资料须严格按照以上顺序打包成册，提供纸质文件和PDF电子文件，每页加盖企业鲜章。第4项“产品申报表”还需提供excel电子文件，如纸质文件中第4项“产品申报表”与电子文件不一致，以纸质文件为准。</w:t>
      </w:r>
    </w:p>
    <w:p w14:paraId="30070F2C">
      <w:pPr>
        <w:ind w:firstLine="640" w:firstLineChars="200"/>
        <w:outlineLvl w:val="1"/>
        <w:rPr>
          <w:rFonts w:hint="eastAsia" w:ascii="黑体" w:hAnsi="黑体" w:eastAsia="黑体" w:cs="黑体"/>
          <w:b w:val="0"/>
          <w:bCs/>
          <w:kern w:val="44"/>
          <w:sz w:val="32"/>
          <w:szCs w:val="32"/>
          <w:lang w:val="en-US" w:eastAsia="zh-CN" w:bidi="ar-SA"/>
        </w:rPr>
      </w:pPr>
      <w:bookmarkStart w:id="42" w:name="_Toc19230"/>
      <w:bookmarkStart w:id="43" w:name="_Toc11467"/>
      <w:r>
        <w:rPr>
          <w:rFonts w:hint="eastAsia" w:ascii="黑体" w:hAnsi="黑体" w:eastAsia="黑体" w:cs="黑体"/>
          <w:b w:val="0"/>
          <w:bCs/>
          <w:kern w:val="44"/>
          <w:sz w:val="32"/>
          <w:szCs w:val="32"/>
          <w:lang w:val="en-US" w:eastAsia="zh-CN" w:bidi="ar-SA"/>
        </w:rPr>
        <w:t>三、申报材料递交</w:t>
      </w:r>
      <w:bookmarkEnd w:id="42"/>
      <w:bookmarkEnd w:id="43"/>
    </w:p>
    <w:p w14:paraId="31EC3F16">
      <w:pPr>
        <w:ind w:firstLine="560" w:firstLineChars="200"/>
        <w:rPr>
          <w:rFonts w:hint="eastAsia"/>
          <w:lang w:val="en-US" w:eastAsia="zh-CN"/>
        </w:rPr>
      </w:pPr>
      <w:r>
        <w:rPr>
          <w:rFonts w:hint="eastAsia"/>
          <w:lang w:val="en-US" w:eastAsia="zh-CN"/>
        </w:rPr>
        <w:t>（一）申报企业应按照采购公告要求在规定时间递交申报材料（详见陕西省药械集中采购平台(http://sxsyxcg.sxggzyjy.cn/)及各联盟省份官网）。</w:t>
      </w:r>
    </w:p>
    <w:p w14:paraId="34298F6F">
      <w:pPr>
        <w:ind w:firstLine="560" w:firstLineChars="200"/>
        <w:rPr>
          <w:rFonts w:hint="eastAsia"/>
          <w:lang w:val="en-US" w:eastAsia="zh-CN"/>
        </w:rPr>
      </w:pPr>
      <w:r>
        <w:rPr>
          <w:rFonts w:hint="eastAsia"/>
          <w:lang w:val="en-US" w:eastAsia="zh-CN"/>
        </w:rPr>
        <w:t>（二）省际联盟联合采购办</w:t>
      </w:r>
      <w:r>
        <w:rPr>
          <w:rFonts w:hint="eastAsia"/>
          <w:b w:val="0"/>
          <w:bCs w:val="0"/>
          <w:color w:val="000000" w:themeColor="text1"/>
          <w:lang w:val="en-US" w:eastAsia="zh-CN"/>
          <w14:textFill>
            <w14:solidFill>
              <w14:schemeClr w14:val="tx1"/>
            </w14:solidFill>
          </w14:textFill>
        </w:rPr>
        <w:t>公室根据公证机构的意见，拒绝</w:t>
      </w:r>
      <w:r>
        <w:rPr>
          <w:rFonts w:hint="eastAsia"/>
          <w:lang w:val="en-US" w:eastAsia="zh-CN"/>
        </w:rPr>
        <w:t>接收在申报截止时间后递交的任何申报及申报材料。</w:t>
      </w:r>
    </w:p>
    <w:p w14:paraId="36EF060D">
      <w:pPr>
        <w:ind w:firstLine="560" w:firstLineChars="200"/>
        <w:rPr>
          <w:rFonts w:hint="default"/>
          <w:lang w:val="en-US" w:eastAsia="zh-CN"/>
        </w:rPr>
      </w:pPr>
      <w:r>
        <w:rPr>
          <w:rFonts w:hint="eastAsia"/>
          <w:lang w:val="en-US" w:eastAsia="zh-CN"/>
        </w:rPr>
        <w:t>（三）申报截止时间后，申报企业不得对申报材料做任何修改。</w:t>
      </w:r>
    </w:p>
    <w:p w14:paraId="22AEAC86">
      <w:pPr>
        <w:ind w:firstLine="640" w:firstLineChars="200"/>
        <w:outlineLvl w:val="1"/>
        <w:rPr>
          <w:rFonts w:hint="eastAsia" w:ascii="黑体" w:hAnsi="黑体" w:eastAsia="黑体" w:cs="黑体"/>
          <w:b w:val="0"/>
          <w:bCs/>
          <w:kern w:val="44"/>
          <w:sz w:val="32"/>
          <w:szCs w:val="32"/>
          <w:lang w:val="en-US" w:eastAsia="zh-CN" w:bidi="ar-SA"/>
        </w:rPr>
      </w:pPr>
      <w:bookmarkStart w:id="44" w:name="_Toc8683"/>
      <w:bookmarkStart w:id="45" w:name="_Toc19218"/>
      <w:r>
        <w:rPr>
          <w:rFonts w:hint="eastAsia" w:ascii="黑体" w:hAnsi="黑体" w:eastAsia="黑体" w:cs="黑体"/>
          <w:b w:val="0"/>
          <w:bCs/>
          <w:kern w:val="44"/>
          <w:sz w:val="32"/>
          <w:szCs w:val="32"/>
          <w:lang w:val="en-US" w:eastAsia="zh-CN" w:bidi="ar-SA"/>
        </w:rPr>
        <w:t>四、产品报价</w:t>
      </w:r>
      <w:bookmarkEnd w:id="44"/>
      <w:bookmarkEnd w:id="45"/>
    </w:p>
    <w:p w14:paraId="391C6AF2">
      <w:pPr>
        <w:ind w:firstLine="560" w:firstLineChars="200"/>
        <w:rPr>
          <w:rFonts w:hint="default"/>
          <w:color w:val="auto"/>
          <w:lang w:val="en-US" w:eastAsia="zh-CN"/>
        </w:rPr>
      </w:pPr>
      <w:r>
        <w:rPr>
          <w:rFonts w:hint="eastAsia"/>
          <w:color w:val="auto"/>
          <w:lang w:val="en-US" w:eastAsia="zh-CN"/>
        </w:rPr>
        <w:t>在指定的时间、地点，同一竞价组的申报</w:t>
      </w:r>
      <w:r>
        <w:rPr>
          <w:rFonts w:hint="eastAsia"/>
          <w:b w:val="0"/>
          <w:bCs w:val="0"/>
          <w:color w:val="auto"/>
          <w:lang w:val="en-US" w:eastAsia="zh-CN"/>
        </w:rPr>
        <w:t>企业，现场对</w:t>
      </w:r>
      <w:r>
        <w:rPr>
          <w:rFonts w:hint="eastAsia"/>
          <w:color w:val="auto"/>
          <w:lang w:val="en-US" w:eastAsia="zh-CN"/>
        </w:rPr>
        <w:t>申报产品进行唯一一次价格申报，产品报价均以“元”为单位，保留小数点后2位，报价为产品的实际供应价，包括但不限于配送、伴随服务等费用。所有申报产品均应参加现场报价，未报价产品取消中选资格。</w:t>
      </w:r>
    </w:p>
    <w:p w14:paraId="464055C1">
      <w:pPr>
        <w:ind w:firstLine="563" w:firstLineChars="200"/>
        <w:outlineLvl w:val="2"/>
        <w:rPr>
          <w:rFonts w:hint="eastAsia" w:ascii="仿宋" w:hAnsi="仿宋" w:eastAsia="仿宋" w:cs="仿宋"/>
          <w:b/>
          <w:bCs/>
          <w:color w:val="auto"/>
          <w:spacing w:val="-20"/>
          <w:kern w:val="2"/>
          <w:sz w:val="32"/>
          <w:szCs w:val="32"/>
          <w:lang w:val="en-US" w:eastAsia="zh-CN" w:bidi="ar-SA"/>
        </w:rPr>
      </w:pPr>
      <w:r>
        <w:rPr>
          <w:rFonts w:hint="eastAsia" w:ascii="仿宋" w:hAnsi="仿宋" w:eastAsia="仿宋" w:cs="仿宋"/>
          <w:b/>
          <w:bCs/>
          <w:color w:val="auto"/>
          <w:spacing w:val="-20"/>
          <w:kern w:val="2"/>
          <w:sz w:val="32"/>
          <w:szCs w:val="32"/>
          <w:lang w:val="en-US" w:eastAsia="zh-CN" w:bidi="ar-SA"/>
        </w:rPr>
        <w:t>（一）带量采购中选产品</w:t>
      </w:r>
    </w:p>
    <w:p w14:paraId="583ED0AD">
      <w:pPr>
        <w:ind w:firstLine="560" w:firstLineChars="200"/>
        <w:rPr>
          <w:rFonts w:hint="eastAsia"/>
          <w:color w:val="FF0000"/>
        </w:rPr>
      </w:pPr>
      <w:r>
        <w:rPr>
          <w:rFonts w:hint="eastAsia"/>
          <w:lang w:val="en-US" w:eastAsia="zh-CN"/>
        </w:rPr>
        <w:t>2021年以来全国范围内各省级及省际联盟带量采购项目中选产品。有效申报价格不高于省级及省际联盟带量采购最低中选价格。</w:t>
      </w:r>
    </w:p>
    <w:p w14:paraId="0E82F6ED">
      <w:pPr>
        <w:ind w:firstLine="563" w:firstLineChars="200"/>
        <w:outlineLvl w:val="2"/>
        <w:rPr>
          <w:rFonts w:hint="eastAsia" w:ascii="仿宋" w:hAnsi="仿宋" w:eastAsia="仿宋" w:cs="仿宋"/>
          <w:b/>
          <w:bCs/>
          <w:color w:val="auto"/>
          <w:spacing w:val="-20"/>
          <w:kern w:val="2"/>
          <w:sz w:val="32"/>
          <w:szCs w:val="32"/>
          <w:lang w:val="en-US" w:eastAsia="zh-CN" w:bidi="ar-SA"/>
        </w:rPr>
      </w:pPr>
      <w:r>
        <w:rPr>
          <w:rFonts w:hint="eastAsia" w:ascii="仿宋" w:hAnsi="仿宋" w:eastAsia="仿宋" w:cs="仿宋"/>
          <w:b/>
          <w:bCs/>
          <w:color w:val="auto"/>
          <w:spacing w:val="-20"/>
          <w:kern w:val="2"/>
          <w:sz w:val="32"/>
          <w:szCs w:val="32"/>
          <w:lang w:val="en-US" w:eastAsia="zh-CN" w:bidi="ar-SA"/>
        </w:rPr>
        <w:t>（二）非带量采购中选产品</w:t>
      </w:r>
    </w:p>
    <w:p w14:paraId="05A45669">
      <w:pPr>
        <w:ind w:firstLine="560" w:firstLineChars="200"/>
        <w:rPr>
          <w:rFonts w:hint="eastAsia"/>
          <w:lang w:val="en-US" w:eastAsia="zh-CN"/>
        </w:rPr>
      </w:pPr>
      <w:r>
        <w:rPr>
          <w:rFonts w:hint="eastAsia"/>
          <w:lang w:val="en-US" w:eastAsia="zh-CN"/>
        </w:rPr>
        <w:t>2021年以来全国范围内各省级及省际联盟带量采购项目均未中选产品。有效申报价格需同时满足：1.不高于本次同组申报的带量采购中选产品有效申报价的平均值；2.不高于全国省级最低挂网价；3.不高于本次联盟区域内省级药械平台2023年以来最低交易价格。</w:t>
      </w:r>
    </w:p>
    <w:p w14:paraId="483927CE">
      <w:pPr>
        <w:ind w:firstLine="640" w:firstLineChars="200"/>
        <w:outlineLvl w:val="1"/>
        <w:rPr>
          <w:rFonts w:hint="default" w:ascii="黑体" w:hAnsi="黑体" w:eastAsia="黑体" w:cs="黑体"/>
          <w:b w:val="0"/>
          <w:bCs/>
          <w:kern w:val="44"/>
          <w:sz w:val="32"/>
          <w:szCs w:val="32"/>
          <w:lang w:val="en-US" w:eastAsia="zh-CN" w:bidi="ar-SA"/>
        </w:rPr>
      </w:pPr>
      <w:bookmarkStart w:id="46" w:name="_Toc11292"/>
      <w:bookmarkStart w:id="47" w:name="_Toc3279"/>
      <w:r>
        <w:rPr>
          <w:rFonts w:hint="eastAsia" w:ascii="黑体" w:hAnsi="黑体" w:eastAsia="黑体" w:cs="黑体"/>
          <w:b w:val="0"/>
          <w:bCs/>
          <w:kern w:val="44"/>
          <w:sz w:val="32"/>
          <w:szCs w:val="32"/>
          <w:lang w:val="en-US" w:eastAsia="zh-CN" w:bidi="ar-SA"/>
        </w:rPr>
        <w:t>五</w:t>
      </w:r>
      <w:r>
        <w:rPr>
          <w:rFonts w:hint="default" w:ascii="黑体" w:hAnsi="黑体" w:eastAsia="黑体" w:cs="黑体"/>
          <w:b w:val="0"/>
          <w:bCs/>
          <w:kern w:val="44"/>
          <w:sz w:val="32"/>
          <w:szCs w:val="32"/>
          <w:lang w:val="en-US" w:eastAsia="zh-CN" w:bidi="ar-SA"/>
        </w:rPr>
        <w:t>、中选产品的确认</w:t>
      </w:r>
      <w:bookmarkEnd w:id="46"/>
      <w:bookmarkEnd w:id="47"/>
    </w:p>
    <w:p w14:paraId="128412BD">
      <w:pPr>
        <w:pStyle w:val="4"/>
        <w:widowControl w:val="0"/>
        <w:spacing w:line="560" w:lineRule="exact"/>
        <w:ind w:firstLine="641"/>
        <w:jc w:val="both"/>
        <w:outlineLvl w:val="2"/>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（一）</w:t>
      </w:r>
      <w:r>
        <w:rPr>
          <w:rFonts w:hint="eastAsia" w:ascii="仿宋" w:hAnsi="仿宋" w:cs="仿宋"/>
          <w:b/>
          <w:bCs/>
          <w:color w:val="auto"/>
          <w:kern w:val="2"/>
          <w:sz w:val="32"/>
          <w:szCs w:val="32"/>
          <w:lang w:val="en-US" w:eastAsia="zh-CN" w:bidi="ar"/>
        </w:rPr>
        <w:t>拟中选产品确认</w:t>
      </w:r>
    </w:p>
    <w:p w14:paraId="35CADB71">
      <w:pPr>
        <w:ind w:firstLine="560" w:firstLineChars="200"/>
        <w:rPr>
          <w:rFonts w:hint="default"/>
          <w:lang w:val="en-US" w:eastAsia="zh-CN"/>
        </w:rPr>
      </w:pPr>
      <w:r>
        <w:rPr>
          <w:rFonts w:hint="eastAsia"/>
          <w:lang w:val="en-US" w:eastAsia="zh-CN"/>
        </w:rPr>
        <w:t>申报价格符合要求的带量采购中选产品，即为拟中选产品；</w:t>
      </w:r>
    </w:p>
    <w:p w14:paraId="7ACE008D">
      <w:pPr>
        <w:ind w:firstLine="560" w:firstLineChars="200"/>
        <w:rPr>
          <w:rFonts w:hint="eastAsia"/>
          <w:lang w:val="en-US" w:eastAsia="zh-CN"/>
        </w:rPr>
      </w:pPr>
      <w:r>
        <w:rPr>
          <w:rFonts w:hint="eastAsia"/>
          <w:lang w:val="en-US" w:eastAsia="zh-CN"/>
        </w:rPr>
        <w:t>申报价格符合要求的非带量采购中选产品，按照申报价格由低到高排序，取同组申报的所有非带量采购中选产品前50%（四舍五入）确定拟中选产品。</w:t>
      </w:r>
    </w:p>
    <w:p w14:paraId="05550F2B">
      <w:pPr>
        <w:pStyle w:val="4"/>
        <w:widowControl w:val="0"/>
        <w:spacing w:line="560" w:lineRule="exact"/>
        <w:ind w:firstLine="641"/>
        <w:jc w:val="both"/>
        <w:outlineLvl w:val="2"/>
        <w:rPr>
          <w:rFonts w:hint="default" w:ascii="仿宋" w:hAnsi="仿宋" w:eastAsia="仿宋" w:cs="仿宋"/>
          <w:b/>
          <w:bCs/>
          <w:color w:val="auto"/>
          <w:kern w:val="2"/>
          <w:sz w:val="32"/>
          <w:szCs w:val="32"/>
          <w:lang w:val="en-US" w:eastAsia="zh-CN" w:bidi="ar"/>
        </w:rPr>
      </w:pPr>
      <w:r>
        <w:rPr>
          <w:rFonts w:hint="eastAsia" w:ascii="仿宋" w:hAnsi="仿宋" w:cs="仿宋"/>
          <w:b/>
          <w:bCs/>
          <w:color w:val="auto"/>
          <w:kern w:val="2"/>
          <w:sz w:val="32"/>
          <w:szCs w:val="32"/>
          <w:lang w:val="en-US" w:eastAsia="zh-CN" w:bidi="ar"/>
        </w:rPr>
        <w:t>（二）</w:t>
      </w:r>
      <w:r>
        <w:rPr>
          <w:rFonts w:hint="eastAsia" w:ascii="仿宋" w:hAnsi="仿宋" w:eastAsia="仿宋" w:cs="仿宋"/>
          <w:b/>
          <w:bCs/>
          <w:color w:val="auto"/>
          <w:kern w:val="2"/>
          <w:sz w:val="32"/>
          <w:szCs w:val="32"/>
          <w:lang w:val="en-US" w:eastAsia="zh-CN" w:bidi="ar"/>
        </w:rPr>
        <w:t xml:space="preserve">拟中选结果公示 </w:t>
      </w:r>
    </w:p>
    <w:p w14:paraId="59006DF3">
      <w:pPr>
        <w:ind w:firstLine="560" w:firstLineChars="200"/>
        <w:rPr>
          <w:rFonts w:hint="eastAsia"/>
          <w:lang w:val="en-US" w:eastAsia="zh-CN"/>
        </w:rPr>
      </w:pPr>
      <w:bookmarkStart w:id="48" w:name="_Hlk150026046"/>
      <w:r>
        <w:rPr>
          <w:rFonts w:hint="eastAsia"/>
          <w:lang w:val="en-US" w:eastAsia="zh-CN"/>
        </w:rPr>
        <w:t>1.拟中选结果产生并经省际联盟联合采购办公室审核后，</w:t>
      </w:r>
      <w:bookmarkEnd w:id="48"/>
      <w:r>
        <w:rPr>
          <w:rFonts w:hint="eastAsia"/>
          <w:lang w:val="en-US" w:eastAsia="zh-CN"/>
        </w:rPr>
        <w:t>在陕西省药械集中采购平台(http://sxsyxcg.sxggzyjy.cn/)进行公示，由省际联盟联合采购办公室接受复核申请。</w:t>
      </w:r>
    </w:p>
    <w:p w14:paraId="19F0762F">
      <w:pPr>
        <w:ind w:firstLine="560" w:firstLineChars="200"/>
        <w:rPr>
          <w:rFonts w:hint="eastAsia"/>
          <w:lang w:val="en-US" w:eastAsia="zh-CN"/>
        </w:rPr>
      </w:pPr>
      <w:r>
        <w:rPr>
          <w:rFonts w:hint="eastAsia"/>
          <w:lang w:val="en-US" w:eastAsia="zh-CN"/>
        </w:rPr>
        <w:t>2.复核申请应在公示期间内提出，并依法依规提供合法有效证明材料。未提供相应证明材料的，原则上不予受理。</w:t>
      </w:r>
    </w:p>
    <w:p w14:paraId="48EE381B">
      <w:pPr>
        <w:ind w:firstLine="560" w:firstLineChars="200"/>
        <w:rPr>
          <w:rFonts w:hint="eastAsia"/>
          <w:lang w:val="en-US" w:eastAsia="zh-CN"/>
        </w:rPr>
      </w:pPr>
      <w:r>
        <w:rPr>
          <w:rFonts w:hint="eastAsia"/>
          <w:lang w:val="en-US" w:eastAsia="zh-CN"/>
        </w:rPr>
        <w:t>3.经公示，如拟中选企业被取消中选资格，不影响其他企业中选，也不再递补。</w:t>
      </w:r>
    </w:p>
    <w:p w14:paraId="4995D87E">
      <w:pPr>
        <w:pStyle w:val="4"/>
        <w:widowControl w:val="0"/>
        <w:spacing w:line="560" w:lineRule="exact"/>
        <w:ind w:firstLine="641"/>
        <w:jc w:val="both"/>
        <w:outlineLvl w:val="2"/>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（二）中选结果公布</w:t>
      </w:r>
    </w:p>
    <w:p w14:paraId="168A3BBF">
      <w:pPr>
        <w:ind w:firstLine="560" w:firstLineChars="200"/>
        <w:rPr>
          <w:rFonts w:hint="default"/>
          <w:lang w:val="en-US" w:eastAsia="zh-CN"/>
        </w:rPr>
      </w:pPr>
      <w:r>
        <w:rPr>
          <w:rFonts w:hint="eastAsia"/>
          <w:lang w:val="en-US" w:eastAsia="zh-CN"/>
        </w:rPr>
        <w:t>拟中选结果公示无异议后，由省际联盟联合采购办公室在陕西省药械集中采购平台(http://sxsyxcg.sxggzyjy.cn/)及各联盟省份官网公布中选结果。</w:t>
      </w:r>
    </w:p>
    <w:p w14:paraId="43D96F55">
      <w:pPr>
        <w:ind w:firstLine="560" w:firstLineChars="200"/>
        <w:rPr>
          <w:rFonts w:hint="default"/>
          <w:lang w:val="en-US" w:eastAsia="zh-CN"/>
        </w:rPr>
      </w:pPr>
      <w:r>
        <w:rPr>
          <w:rFonts w:hint="eastAsia"/>
          <w:lang w:val="en-US" w:eastAsia="zh-CN"/>
        </w:rPr>
        <w:t>1.签订采购协议并执行时，必须如实反映实际供应价格和采购量。医疗机构应当根据采购协议的约定和有关政策要求及时回款，不得拖欠。</w:t>
      </w:r>
    </w:p>
    <w:p w14:paraId="62A5E970">
      <w:pPr>
        <w:ind w:firstLine="560" w:firstLineChars="200"/>
        <w:rPr>
          <w:rFonts w:hint="default"/>
          <w:lang w:val="en-US" w:eastAsia="zh-CN"/>
        </w:rPr>
      </w:pPr>
      <w:r>
        <w:rPr>
          <w:rFonts w:hint="eastAsia"/>
          <w:lang w:val="en-US" w:eastAsia="zh-CN"/>
        </w:rPr>
        <w:t>2.采购协议签订后，双方不得再订立背离协议实质性内容的其他协议或提出除协议之外的任何利益性要求。</w:t>
      </w:r>
    </w:p>
    <w:p w14:paraId="1F28F807">
      <w:pPr>
        <w:ind w:firstLine="560" w:firstLineChars="200"/>
        <w:rPr>
          <w:rFonts w:hint="default"/>
          <w:lang w:val="en-US" w:eastAsia="zh-CN"/>
        </w:rPr>
      </w:pPr>
      <w:r>
        <w:rPr>
          <w:rFonts w:hint="eastAsia"/>
          <w:lang w:val="en-US" w:eastAsia="zh-CN"/>
        </w:rPr>
        <w:t>3.参与本次集中带量采购的医疗机构须严格执行中选价格，不得对中选产品进行二次议价。</w:t>
      </w:r>
    </w:p>
    <w:p w14:paraId="2CC208AE">
      <w:pPr>
        <w:ind w:firstLine="640" w:firstLineChars="200"/>
        <w:outlineLvl w:val="1"/>
        <w:rPr>
          <w:rFonts w:hint="default" w:ascii="黑体" w:hAnsi="黑体" w:eastAsia="黑体" w:cs="黑体"/>
          <w:b w:val="0"/>
          <w:bCs/>
          <w:kern w:val="44"/>
          <w:sz w:val="32"/>
          <w:szCs w:val="32"/>
          <w:lang w:val="en-US" w:eastAsia="zh-CN" w:bidi="ar-SA"/>
        </w:rPr>
      </w:pPr>
      <w:bookmarkStart w:id="49" w:name="_Toc26056"/>
      <w:bookmarkStart w:id="50" w:name="_Toc16956"/>
      <w:r>
        <w:rPr>
          <w:rFonts w:hint="eastAsia" w:ascii="黑体" w:hAnsi="黑体" w:eastAsia="黑体" w:cs="黑体"/>
          <w:b w:val="0"/>
          <w:bCs/>
          <w:kern w:val="44"/>
          <w:sz w:val="32"/>
          <w:szCs w:val="32"/>
          <w:lang w:val="en-US" w:eastAsia="zh-CN" w:bidi="ar-SA"/>
        </w:rPr>
        <w:t>六</w:t>
      </w:r>
      <w:r>
        <w:rPr>
          <w:rFonts w:hint="default" w:ascii="黑体" w:hAnsi="黑体" w:eastAsia="黑体" w:cs="黑体"/>
          <w:b w:val="0"/>
          <w:bCs/>
          <w:kern w:val="44"/>
          <w:sz w:val="32"/>
          <w:szCs w:val="32"/>
          <w:lang w:val="en-US" w:eastAsia="zh-CN" w:bidi="ar-SA"/>
        </w:rPr>
        <w:t>、</w:t>
      </w:r>
      <w:r>
        <w:rPr>
          <w:rFonts w:hint="eastAsia" w:ascii="黑体" w:hAnsi="黑体" w:eastAsia="黑体" w:cs="黑体"/>
          <w:b w:val="0"/>
          <w:bCs/>
          <w:kern w:val="44"/>
          <w:sz w:val="32"/>
          <w:szCs w:val="32"/>
          <w:lang w:val="en-US" w:eastAsia="zh-CN" w:bidi="ar-SA"/>
        </w:rPr>
        <w:t>协议量分配</w:t>
      </w:r>
      <w:bookmarkEnd w:id="49"/>
      <w:bookmarkEnd w:id="50"/>
    </w:p>
    <w:p w14:paraId="0A42AFCE">
      <w:pPr>
        <w:spacing w:line="560" w:lineRule="exact"/>
        <w:ind w:firstLine="562" w:firstLineChars="200"/>
        <w:rPr>
          <w:rFonts w:hint="eastAsia"/>
          <w:color w:val="auto"/>
          <w:lang w:val="en-US" w:eastAsia="zh-CN"/>
        </w:rPr>
      </w:pPr>
      <w:r>
        <w:rPr>
          <w:rFonts w:hint="eastAsia" w:eastAsia="仿宋" w:asciiTheme="minorHAnsi" w:hAnsiTheme="minorHAnsi" w:cstheme="minorBidi"/>
          <w:b/>
          <w:bCs/>
          <w:color w:val="auto"/>
          <w:kern w:val="2"/>
          <w:sz w:val="28"/>
          <w:szCs w:val="24"/>
          <w:lang w:val="en-US" w:eastAsia="zh-CN" w:bidi="ar-SA"/>
        </w:rPr>
        <w:t>（一） 确定约定采购量。</w:t>
      </w:r>
      <w:r>
        <w:rPr>
          <w:rFonts w:hint="eastAsia"/>
          <w:lang w:val="en-US" w:eastAsia="zh-CN"/>
        </w:rPr>
        <w:t>接续中选结果产生后，由医疗机构按照不少于上年度实际采购量的90%，在中选产品清单中自主确定下一年度</w:t>
      </w:r>
      <w:r>
        <w:rPr>
          <w:rFonts w:hint="eastAsia"/>
          <w:color w:val="auto"/>
          <w:lang w:val="en-US" w:eastAsia="zh-CN"/>
        </w:rPr>
        <w:t>约定采购量，鼓励优先选择价格较低的中选产品。</w:t>
      </w:r>
    </w:p>
    <w:p w14:paraId="3869FA4D">
      <w:pPr>
        <w:spacing w:line="560" w:lineRule="exact"/>
        <w:ind w:firstLine="562" w:firstLineChars="200"/>
        <w:rPr>
          <w:rFonts w:hint="eastAsia"/>
          <w:color w:val="auto"/>
          <w:lang w:val="en-US" w:eastAsia="zh-CN"/>
        </w:rPr>
      </w:pPr>
      <w:r>
        <w:rPr>
          <w:rFonts w:hint="eastAsia" w:eastAsia="仿宋" w:asciiTheme="minorHAnsi" w:hAnsiTheme="minorHAnsi" w:cstheme="minorBidi"/>
          <w:b/>
          <w:bCs/>
          <w:color w:val="auto"/>
          <w:kern w:val="2"/>
          <w:sz w:val="28"/>
          <w:szCs w:val="24"/>
          <w:lang w:val="en-US" w:eastAsia="zh-CN" w:bidi="ar-SA"/>
        </w:rPr>
        <w:t>（二）申报企业与采购主体双向选择，形成分包任务量。</w:t>
      </w:r>
      <w:r>
        <w:rPr>
          <w:rFonts w:hint="eastAsia"/>
          <w:color w:val="auto"/>
          <w:lang w:val="en-US" w:eastAsia="zh-CN"/>
        </w:rPr>
        <w:t>申报企业根据采购主体的意向采购量，结合自身供应能力，进行供应意向确认，完成企业与采购主体双方选择。双向选择过程中，对于申报企业确认供应的，即形成相应的分包任务量。对于申报企业拒绝供应的，由采购主体重新选择同组其他符合条件同功能属性的申报产品，直至采购主体所有意向采购量完成双向选择。</w:t>
      </w:r>
    </w:p>
    <w:p w14:paraId="53173DCB">
      <w:pPr>
        <w:spacing w:line="560" w:lineRule="exact"/>
        <w:ind w:firstLine="562" w:firstLineChars="200"/>
        <w:rPr>
          <w:rFonts w:hint="default"/>
          <w:lang w:val="en-US" w:eastAsia="zh-CN"/>
        </w:rPr>
      </w:pPr>
      <w:r>
        <w:rPr>
          <w:rFonts w:hint="eastAsia" w:eastAsia="仿宋" w:asciiTheme="minorHAnsi" w:hAnsiTheme="minorHAnsi" w:cstheme="minorBidi"/>
          <w:b/>
          <w:bCs/>
          <w:color w:val="auto"/>
          <w:kern w:val="2"/>
          <w:sz w:val="28"/>
          <w:szCs w:val="24"/>
          <w:lang w:val="en-US" w:eastAsia="zh-CN" w:bidi="ar-SA"/>
        </w:rPr>
        <w:t>（三） 签订带量采购协议，执行网上采购。</w:t>
      </w:r>
      <w:r>
        <w:rPr>
          <w:rFonts w:hint="eastAsia"/>
          <w:lang w:val="en-US" w:eastAsia="zh-CN"/>
        </w:rPr>
        <w:t>医疗机构、中选企业及其确定的配送企业按中选价格建立配送关系并签订购销三方协议，严格执行网上采购。超出协议采购量的部分，医疗机构仍应优先采购中选产品，协议期内能够完成中选产品约定采购量基础上临床确有需求，医疗机构可以采购其他价格适宜的产品，原则上在采购周期内非中选产品使用量不得超过中选产品使用量。</w:t>
      </w:r>
    </w:p>
    <w:p w14:paraId="08AB604A">
      <w:pPr>
        <w:ind w:firstLine="640" w:firstLineChars="200"/>
        <w:outlineLvl w:val="1"/>
        <w:rPr>
          <w:rFonts w:hint="default" w:ascii="黑体" w:hAnsi="黑体" w:eastAsia="黑体" w:cs="黑体"/>
          <w:b w:val="0"/>
          <w:bCs/>
          <w:kern w:val="44"/>
          <w:sz w:val="32"/>
          <w:szCs w:val="32"/>
          <w:lang w:val="en-US" w:eastAsia="zh-CN" w:bidi="ar-SA"/>
        </w:rPr>
      </w:pPr>
      <w:bookmarkStart w:id="51" w:name="_Toc84"/>
      <w:bookmarkStart w:id="52" w:name="_Toc25757"/>
      <w:r>
        <w:rPr>
          <w:rFonts w:hint="default" w:ascii="黑体" w:hAnsi="黑体" w:eastAsia="黑体" w:cs="黑体"/>
          <w:b w:val="0"/>
          <w:bCs/>
          <w:kern w:val="44"/>
          <w:sz w:val="32"/>
          <w:szCs w:val="32"/>
          <w:lang w:val="en-US" w:eastAsia="zh-CN" w:bidi="ar-SA"/>
        </w:rPr>
        <w:t>七、采购协议履行及有关问题处理</w:t>
      </w:r>
      <w:bookmarkEnd w:id="51"/>
      <w:bookmarkEnd w:id="52"/>
    </w:p>
    <w:p w14:paraId="4C982077">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（一）申报企业、中选企业、配送企业如</w:t>
      </w:r>
      <w:r>
        <w:rPr>
          <w:rFonts w:hint="eastAsia" w:cstheme="minorBidi"/>
          <w:b/>
          <w:bCs/>
          <w:color w:val="auto"/>
          <w:kern w:val="2"/>
          <w:sz w:val="28"/>
          <w:szCs w:val="24"/>
          <w:lang w:val="en-US" w:eastAsia="zh-CN" w:bidi="ar-SA"/>
        </w:rPr>
        <w:t>存在</w:t>
      </w:r>
      <w:r>
        <w:rPr>
          <w:rFonts w:hint="default" w:eastAsia="仿宋" w:asciiTheme="minorHAnsi" w:hAnsiTheme="minorHAnsi" w:cstheme="minorBidi"/>
          <w:b/>
          <w:bCs/>
          <w:color w:val="auto"/>
          <w:kern w:val="2"/>
          <w:sz w:val="28"/>
          <w:szCs w:val="24"/>
          <w:lang w:val="en-US" w:eastAsia="zh-CN" w:bidi="ar-SA"/>
        </w:rPr>
        <w:t>以下行为，经有关部门认定情节严重的将被视为有失信行为，纳入企业信用记录，列入“违规名单”</w:t>
      </w:r>
    </w:p>
    <w:p w14:paraId="5F6B23C7">
      <w:pPr>
        <w:spacing w:line="560" w:lineRule="exact"/>
        <w:ind w:firstLine="560" w:firstLineChars="200"/>
        <w:rPr>
          <w:rFonts w:hint="default"/>
          <w:lang w:val="en-US" w:eastAsia="zh-CN"/>
        </w:rPr>
      </w:pPr>
      <w:r>
        <w:rPr>
          <w:rFonts w:hint="default"/>
          <w:lang w:val="en-US" w:eastAsia="zh-CN"/>
        </w:rPr>
        <w:t>1.申报产品不符合“申报产品资格要求”，涉嫌不如实提供材料。</w:t>
      </w:r>
    </w:p>
    <w:p w14:paraId="1AF1DD81">
      <w:pPr>
        <w:spacing w:line="560" w:lineRule="exact"/>
        <w:ind w:firstLine="560" w:firstLineChars="200"/>
        <w:rPr>
          <w:rFonts w:hint="default"/>
          <w:lang w:val="en-US" w:eastAsia="zh-CN"/>
        </w:rPr>
      </w:pPr>
      <w:r>
        <w:rPr>
          <w:rFonts w:hint="default"/>
          <w:lang w:val="en-US" w:eastAsia="zh-CN"/>
        </w:rPr>
        <w:t>2.以低于成本的价格恶意申报，扰乱市场秩序。</w:t>
      </w:r>
    </w:p>
    <w:p w14:paraId="48410BAF">
      <w:pPr>
        <w:spacing w:line="560" w:lineRule="exact"/>
        <w:ind w:firstLine="560" w:firstLineChars="200"/>
        <w:rPr>
          <w:rFonts w:hint="default"/>
          <w:lang w:val="en-US" w:eastAsia="zh-CN"/>
        </w:rPr>
      </w:pPr>
      <w:r>
        <w:rPr>
          <w:rFonts w:hint="default"/>
          <w:lang w:val="en-US" w:eastAsia="zh-CN"/>
        </w:rPr>
        <w:t>3.相互串通申报、协商报价，排斥其他申报企业的公平竞争，损害医疗机构或者其他申报企业的合法利益。</w:t>
      </w:r>
    </w:p>
    <w:p w14:paraId="39859983">
      <w:pPr>
        <w:spacing w:line="560" w:lineRule="exact"/>
        <w:ind w:firstLine="560" w:firstLineChars="200"/>
        <w:rPr>
          <w:rFonts w:hint="default"/>
          <w:lang w:val="en-US" w:eastAsia="zh-CN"/>
        </w:rPr>
      </w:pPr>
      <w:r>
        <w:rPr>
          <w:rFonts w:hint="default"/>
          <w:lang w:val="en-US" w:eastAsia="zh-CN"/>
        </w:rPr>
        <w:t>4.以向医疗机构、</w:t>
      </w:r>
      <w:r>
        <w:rPr>
          <w:rFonts w:hint="eastAsia"/>
          <w:lang w:val="en-US" w:eastAsia="zh-CN"/>
        </w:rPr>
        <w:t>省际联盟联合采购办公室</w:t>
      </w:r>
      <w:r>
        <w:rPr>
          <w:rFonts w:hint="default"/>
          <w:lang w:val="en-US" w:eastAsia="zh-CN"/>
        </w:rPr>
        <w:t>行贿等手段牟取中选。</w:t>
      </w:r>
    </w:p>
    <w:p w14:paraId="0E5926BB">
      <w:pPr>
        <w:spacing w:line="560" w:lineRule="exact"/>
        <w:ind w:firstLine="560" w:firstLineChars="200"/>
        <w:rPr>
          <w:rFonts w:hint="default"/>
          <w:lang w:val="en-US" w:eastAsia="zh-CN"/>
        </w:rPr>
      </w:pPr>
      <w:r>
        <w:rPr>
          <w:rFonts w:hint="default"/>
          <w:lang w:val="en-US" w:eastAsia="zh-CN"/>
        </w:rPr>
        <w:t>5.提供虚假证明文件及文献资料，或者以其他方式弄虚作假，骗取中选。</w:t>
      </w:r>
    </w:p>
    <w:p w14:paraId="45B229B6">
      <w:pPr>
        <w:spacing w:line="560" w:lineRule="exact"/>
        <w:ind w:firstLine="560" w:firstLineChars="200"/>
        <w:rPr>
          <w:rFonts w:hint="default"/>
          <w:lang w:val="en-US" w:eastAsia="zh-CN"/>
        </w:rPr>
      </w:pPr>
      <w:r>
        <w:rPr>
          <w:rFonts w:hint="default"/>
          <w:lang w:val="en-US" w:eastAsia="zh-CN"/>
        </w:rPr>
        <w:t>6.在规定期限内不签订采购协议。</w:t>
      </w:r>
    </w:p>
    <w:p w14:paraId="3C73043D">
      <w:pPr>
        <w:spacing w:line="560" w:lineRule="exact"/>
        <w:ind w:firstLine="560" w:firstLineChars="200"/>
        <w:rPr>
          <w:rFonts w:hint="default"/>
          <w:lang w:val="en-US" w:eastAsia="zh-CN"/>
        </w:rPr>
      </w:pPr>
      <w:r>
        <w:rPr>
          <w:rFonts w:hint="default"/>
          <w:lang w:val="en-US" w:eastAsia="zh-CN"/>
        </w:rPr>
        <w:t>7.中选企业、配送企业未按医疗机构及法律法规等要求实行配送。</w:t>
      </w:r>
    </w:p>
    <w:p w14:paraId="6D5BEBB5">
      <w:pPr>
        <w:spacing w:line="560" w:lineRule="exact"/>
        <w:ind w:firstLine="560" w:firstLineChars="200"/>
        <w:rPr>
          <w:rFonts w:hint="default"/>
          <w:lang w:val="en-US" w:eastAsia="zh-CN"/>
        </w:rPr>
      </w:pPr>
      <w:r>
        <w:rPr>
          <w:rFonts w:hint="default"/>
          <w:lang w:val="en-US" w:eastAsia="zh-CN"/>
        </w:rPr>
        <w:t>8.中选后放弃中选资格。</w:t>
      </w:r>
    </w:p>
    <w:p w14:paraId="52EB6B56">
      <w:pPr>
        <w:spacing w:line="560" w:lineRule="exact"/>
        <w:ind w:firstLine="560" w:firstLineChars="200"/>
        <w:rPr>
          <w:rFonts w:hint="default"/>
          <w:lang w:val="en-US" w:eastAsia="zh-CN"/>
        </w:rPr>
      </w:pPr>
      <w:r>
        <w:rPr>
          <w:rFonts w:hint="default"/>
          <w:lang w:val="en-US" w:eastAsia="zh-CN"/>
        </w:rPr>
        <w:t>9.不履行供货承诺，影响到临床使用。</w:t>
      </w:r>
    </w:p>
    <w:p w14:paraId="246D2D4E">
      <w:pPr>
        <w:spacing w:line="560" w:lineRule="exact"/>
        <w:ind w:firstLine="560" w:firstLineChars="200"/>
        <w:rPr>
          <w:rFonts w:hint="default"/>
          <w:lang w:val="en-US" w:eastAsia="zh-CN"/>
        </w:rPr>
      </w:pPr>
      <w:r>
        <w:rPr>
          <w:rFonts w:hint="default"/>
          <w:lang w:val="en-US" w:eastAsia="zh-CN"/>
        </w:rPr>
        <w:t>10.中选产品发生严重质量问题。</w:t>
      </w:r>
    </w:p>
    <w:p w14:paraId="5958228C">
      <w:pPr>
        <w:spacing w:line="560" w:lineRule="exact"/>
        <w:ind w:firstLine="560" w:firstLineChars="200"/>
        <w:rPr>
          <w:rFonts w:hint="default"/>
          <w:lang w:val="en-US" w:eastAsia="zh-CN"/>
        </w:rPr>
      </w:pPr>
      <w:r>
        <w:rPr>
          <w:rFonts w:hint="default"/>
          <w:lang w:val="en-US" w:eastAsia="zh-CN"/>
        </w:rPr>
        <w:t>11.中选企业严重违背在申报材料中作出的承诺。</w:t>
      </w:r>
    </w:p>
    <w:p w14:paraId="0A733F9C">
      <w:pPr>
        <w:spacing w:line="560" w:lineRule="exact"/>
        <w:ind w:firstLine="560" w:firstLineChars="200"/>
        <w:rPr>
          <w:rFonts w:hint="default"/>
          <w:lang w:val="en-US" w:eastAsia="zh-CN"/>
        </w:rPr>
      </w:pPr>
      <w:r>
        <w:rPr>
          <w:rFonts w:hint="default"/>
          <w:lang w:val="en-US" w:eastAsia="zh-CN"/>
        </w:rPr>
        <w:t>12.通过恶意投诉等不正当手段竞争。</w:t>
      </w:r>
    </w:p>
    <w:p w14:paraId="56F5C5F3">
      <w:pPr>
        <w:spacing w:line="560" w:lineRule="exact"/>
        <w:ind w:firstLine="560" w:firstLineChars="200"/>
        <w:rPr>
          <w:rFonts w:hint="default"/>
          <w:lang w:val="en-US" w:eastAsia="zh-CN"/>
        </w:rPr>
      </w:pPr>
      <w:r>
        <w:rPr>
          <w:rFonts w:hint="default"/>
          <w:lang w:val="en-US" w:eastAsia="zh-CN"/>
        </w:rPr>
        <w:t>13.蓄意干扰集中带量采购相关工作秩序。</w:t>
      </w:r>
    </w:p>
    <w:p w14:paraId="6096374F">
      <w:pPr>
        <w:spacing w:line="560" w:lineRule="exact"/>
        <w:ind w:firstLine="560" w:firstLineChars="200"/>
        <w:rPr>
          <w:rFonts w:hint="default"/>
          <w:lang w:val="en-US" w:eastAsia="zh-CN"/>
        </w:rPr>
      </w:pPr>
      <w:r>
        <w:rPr>
          <w:rFonts w:hint="default"/>
          <w:lang w:val="en-US" w:eastAsia="zh-CN"/>
        </w:rPr>
        <w:t>14.其他违反法律法规的行为。</w:t>
      </w:r>
    </w:p>
    <w:p w14:paraId="61B4F021">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（二）列入“违规名单”的相关企业，按以下方式处理</w:t>
      </w:r>
    </w:p>
    <w:p w14:paraId="098159AC">
      <w:pPr>
        <w:spacing w:line="560" w:lineRule="exact"/>
        <w:ind w:firstLine="560" w:firstLineChars="200"/>
        <w:rPr>
          <w:rFonts w:hint="default"/>
          <w:lang w:val="en-US" w:eastAsia="zh-CN"/>
        </w:rPr>
      </w:pPr>
      <w:r>
        <w:rPr>
          <w:rFonts w:hint="default"/>
          <w:lang w:val="en-US" w:eastAsia="zh-CN"/>
        </w:rPr>
        <w:t>1.申报企业列入“违规名单”的，取消该企业的申报资格；中选企业列入“违规名单”的，取消该企业的中选资格。同时视情节轻重取消上述企业在列入“违规名单”之日起2年内参与联盟各地区医用耗材集中采购活动的资格。</w:t>
      </w:r>
    </w:p>
    <w:p w14:paraId="65317543">
      <w:pPr>
        <w:spacing w:line="560" w:lineRule="exact"/>
        <w:ind w:firstLine="560" w:firstLineChars="200"/>
        <w:rPr>
          <w:rFonts w:hint="default"/>
          <w:lang w:val="en-US" w:eastAsia="zh-CN"/>
        </w:rPr>
      </w:pPr>
      <w:r>
        <w:rPr>
          <w:rFonts w:hint="default"/>
          <w:lang w:val="en-US" w:eastAsia="zh-CN"/>
        </w:rPr>
        <w:t>2.配送企业列入“违规名单”的，取消该企业自列入“违规名单”之日起2年内参与联盟各地区医用耗材集中采购配送的资格。</w:t>
      </w:r>
    </w:p>
    <w:p w14:paraId="33CDAAB4">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（三）其他事项</w:t>
      </w:r>
    </w:p>
    <w:p w14:paraId="5B4B03B0">
      <w:pPr>
        <w:spacing w:line="560" w:lineRule="exact"/>
        <w:ind w:firstLine="560" w:firstLineChars="200"/>
        <w:rPr>
          <w:rFonts w:hint="default"/>
          <w:lang w:val="en-US" w:eastAsia="zh-CN"/>
        </w:rPr>
      </w:pPr>
      <w:r>
        <w:rPr>
          <w:rFonts w:hint="default"/>
          <w:lang w:val="en-US" w:eastAsia="zh-CN"/>
        </w:rPr>
        <w:t>1.中选产品出现被药品监督管理部门暂停生产、销售、使用、进口等情况，取消中选资格。</w:t>
      </w:r>
    </w:p>
    <w:p w14:paraId="7BBECD69">
      <w:pPr>
        <w:spacing w:line="560" w:lineRule="exact"/>
        <w:ind w:firstLine="560" w:firstLineChars="200"/>
        <w:rPr>
          <w:rFonts w:hint="default"/>
          <w:lang w:val="en-US" w:eastAsia="zh-CN"/>
        </w:rPr>
      </w:pPr>
      <w:r>
        <w:rPr>
          <w:rFonts w:hint="default"/>
          <w:lang w:val="en-US" w:eastAsia="zh-CN"/>
        </w:rPr>
        <w:t>2.采购周期内，中选企业出现无法保证供应等情况，致使采购协议无法继续履行时，由医疗机构自主选择价格适宜的中选产品。因保障供应产生的额外支出由无法履行采购协议的原中选企业承担。</w:t>
      </w:r>
    </w:p>
    <w:p w14:paraId="0578CFD8">
      <w:pPr>
        <w:spacing w:line="560" w:lineRule="exact"/>
        <w:ind w:firstLine="560" w:firstLineChars="200"/>
        <w:rPr>
          <w:rFonts w:hint="default"/>
          <w:lang w:val="en-US" w:eastAsia="zh-CN"/>
        </w:rPr>
      </w:pPr>
      <w:r>
        <w:rPr>
          <w:rFonts w:hint="default"/>
          <w:lang w:val="en-US" w:eastAsia="zh-CN"/>
        </w:rPr>
        <w:t>3.因中选产品存在生产质量问题，给患者造成损失的，按照相关规定，由中选企业承担全部赔偿责任，医疗机构可申请更换其他中选产品。</w:t>
      </w:r>
    </w:p>
    <w:p w14:paraId="6C15D310">
      <w:pPr>
        <w:spacing w:line="560" w:lineRule="exact"/>
        <w:ind w:firstLine="560" w:firstLineChars="200"/>
        <w:rPr>
          <w:rFonts w:hint="default"/>
          <w:lang w:val="en-US" w:eastAsia="zh-CN"/>
        </w:rPr>
      </w:pPr>
      <w:r>
        <w:rPr>
          <w:rFonts w:hint="default"/>
          <w:lang w:val="en-US" w:eastAsia="zh-CN"/>
        </w:rPr>
        <w:t>4.采购周期内，若中选产品的配送企业被列入“违规名单”，联盟各地区应及时处理，组织中选企业选择其他配送企业，确保中选产品及时配送。</w:t>
      </w:r>
    </w:p>
    <w:p w14:paraId="2D113AE2">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（四）本采购文件仅适用于本次集中带量采购所述项目的医用耗材及相关服务，最终解释权归</w:t>
      </w:r>
      <w:r>
        <w:rPr>
          <w:rFonts w:hint="eastAsia" w:cstheme="minorBidi"/>
          <w:b/>
          <w:bCs/>
          <w:color w:val="auto"/>
          <w:kern w:val="2"/>
          <w:sz w:val="28"/>
          <w:szCs w:val="24"/>
          <w:lang w:val="en-US" w:eastAsia="zh-CN" w:bidi="ar-SA"/>
        </w:rPr>
        <w:t>省际联盟联合采购办公室</w:t>
      </w:r>
      <w:r>
        <w:rPr>
          <w:rFonts w:hint="default" w:eastAsia="仿宋" w:asciiTheme="minorHAnsi" w:hAnsiTheme="minorHAnsi" w:cstheme="minorBidi"/>
          <w:b/>
          <w:bCs/>
          <w:color w:val="auto"/>
          <w:kern w:val="2"/>
          <w:sz w:val="28"/>
          <w:szCs w:val="24"/>
          <w:lang w:val="en-US" w:eastAsia="zh-CN" w:bidi="ar-SA"/>
        </w:rPr>
        <w:t>。</w:t>
      </w:r>
    </w:p>
    <w:p w14:paraId="1BB22C5D">
      <w:pPr>
        <w:spacing w:line="560" w:lineRule="exact"/>
        <w:ind w:firstLine="560" w:firstLineChars="200"/>
        <w:rPr>
          <w:rFonts w:hint="default" w:eastAsia="仿宋" w:asciiTheme="minorHAnsi" w:hAnsiTheme="minorHAnsi" w:cstheme="minorBidi"/>
          <w:color w:val="auto"/>
          <w:kern w:val="2"/>
          <w:sz w:val="28"/>
          <w:szCs w:val="24"/>
          <w:lang w:val="en-US" w:eastAsia="zh-CN" w:bidi="ar-SA"/>
        </w:rPr>
      </w:pPr>
    </w:p>
    <w:p w14:paraId="0F925B84">
      <w:pPr>
        <w:pStyle w:val="13"/>
        <w:rPr>
          <w:rFonts w:hint="default" w:eastAsia="方正仿宋简体"/>
          <w:lang w:val="en-US" w:eastAsia="zh-CN"/>
        </w:rPr>
      </w:pPr>
    </w:p>
    <w:p w14:paraId="7C9132E2">
      <w:pPr>
        <w:pStyle w:val="13"/>
        <w:rPr>
          <w:rFonts w:hint="default" w:eastAsia="方正仿宋简体"/>
          <w:lang w:val="en-US" w:eastAsia="zh-CN"/>
        </w:rPr>
      </w:pPr>
    </w:p>
    <w:p w14:paraId="5761845F">
      <w:pPr>
        <w:spacing w:before="4680" w:beforeLines="1500" w:line="600" w:lineRule="exact"/>
        <w:jc w:val="both"/>
        <w:outlineLvl w:val="9"/>
        <w:rPr>
          <w:rFonts w:ascii="方正小标宋简体" w:hAnsi="方正小标宋简体" w:eastAsia="方正小标宋简体" w:cs="方正小标宋简体"/>
          <w:bCs/>
          <w:color w:val="auto"/>
          <w:sz w:val="56"/>
          <w:szCs w:val="56"/>
          <w:highlight w:val="none"/>
        </w:rPr>
      </w:pPr>
      <w:bookmarkStart w:id="53" w:name="_Toc4962"/>
      <w:bookmarkStart w:id="54" w:name="_Toc20"/>
      <w:bookmarkStart w:id="55" w:name="_Toc2726"/>
    </w:p>
    <w:p w14:paraId="4ECB6DE6">
      <w:pPr>
        <w:spacing w:before="4680" w:beforeLines="1500" w:line="600" w:lineRule="exact"/>
        <w:jc w:val="center"/>
        <w:outlineLvl w:val="0"/>
        <w:rPr>
          <w:rFonts w:ascii="方正小标宋简体" w:hAnsi="方正小标宋简体" w:eastAsia="方正小标宋简体" w:cs="方正小标宋简体"/>
          <w:bCs/>
          <w:color w:val="auto"/>
          <w:sz w:val="56"/>
          <w:szCs w:val="56"/>
          <w:highlight w:val="none"/>
        </w:rPr>
      </w:pPr>
      <w:bookmarkStart w:id="56" w:name="_Toc1748"/>
      <w:r>
        <w:rPr>
          <w:rFonts w:ascii="方正小标宋简体" w:hAnsi="方正小标宋简体" w:eastAsia="方正小标宋简体" w:cs="方正小标宋简体"/>
          <w:bCs/>
          <w:color w:val="auto"/>
          <w:sz w:val="56"/>
          <w:szCs w:val="56"/>
          <w:highlight w:val="none"/>
        </w:rPr>
        <w:t xml:space="preserve">第三部分 </w:t>
      </w:r>
      <w:r>
        <w:rPr>
          <w:rFonts w:hint="eastAsia" w:ascii="方正小标宋简体" w:hAnsi="方正小标宋简体" w:eastAsia="方正小标宋简体" w:cs="方正小标宋简体"/>
          <w:bCs/>
          <w:color w:val="auto"/>
          <w:sz w:val="56"/>
          <w:szCs w:val="56"/>
          <w:highlight w:val="none"/>
        </w:rPr>
        <w:t>格式文件</w:t>
      </w:r>
      <w:bookmarkEnd w:id="53"/>
      <w:bookmarkEnd w:id="54"/>
      <w:bookmarkEnd w:id="55"/>
      <w:bookmarkEnd w:id="56"/>
    </w:p>
    <w:p w14:paraId="1C2696B2">
      <w:pPr>
        <w:widowControl/>
        <w:jc w:val="left"/>
        <w:rPr>
          <w:rFonts w:hint="eastAsia" w:ascii="黑体" w:hAnsi="黑体" w:eastAsia="黑体" w:cs="黑体"/>
          <w:bCs/>
          <w:spacing w:val="-20"/>
          <w:sz w:val="32"/>
          <w:szCs w:val="32"/>
        </w:rPr>
      </w:pPr>
      <w:r>
        <w:rPr>
          <w:rFonts w:hint="eastAsia" w:ascii="黑体" w:hAnsi="黑体" w:eastAsia="黑体" w:cs="黑体"/>
          <w:bCs/>
          <w:spacing w:val="-20"/>
          <w:sz w:val="32"/>
          <w:szCs w:val="32"/>
        </w:rPr>
        <w:t>格式文件1-1</w:t>
      </w:r>
    </w:p>
    <w:p w14:paraId="6EFB800D">
      <w:pPr>
        <w:widowControl/>
        <w:jc w:val="center"/>
        <w:rPr>
          <w:rFonts w:hint="eastAsia" w:ascii="方正小标宋简体" w:hAnsi="方正小标宋简体" w:eastAsia="方正小标宋简体" w:cs="方正小标宋简体"/>
          <w:bCs/>
          <w:kern w:val="0"/>
          <w:sz w:val="36"/>
          <w:szCs w:val="36"/>
          <w:lang w:val="en-US" w:eastAsia="zh-CN"/>
        </w:rPr>
      </w:pPr>
    </w:p>
    <w:p w14:paraId="1379CFF1">
      <w:pPr>
        <w:widowControl/>
        <w:jc w:val="center"/>
        <w:outlineLvl w:val="0"/>
        <w:rPr>
          <w:rFonts w:ascii="方正小标宋简体" w:hAnsi="方正小标宋简体" w:eastAsia="方正小标宋简体" w:cs="方正小标宋简体"/>
          <w:bCs/>
          <w:spacing w:val="-20"/>
          <w:sz w:val="36"/>
          <w:szCs w:val="36"/>
          <w:lang w:val="zh-CN"/>
        </w:rPr>
      </w:pPr>
      <w:bookmarkStart w:id="57" w:name="_Toc20542"/>
      <w:r>
        <w:rPr>
          <w:rFonts w:hint="eastAsia" w:ascii="方正小标宋简体" w:hAnsi="方正小标宋简体" w:eastAsia="方正小标宋简体" w:cs="方正小标宋简体"/>
          <w:bCs/>
          <w:spacing w:val="-20"/>
          <w:sz w:val="36"/>
          <w:szCs w:val="36"/>
          <w:lang w:val="zh-CN"/>
        </w:rPr>
        <w:t>省际联盟心脏起搏器协议期满接续集中带量采购</w:t>
      </w:r>
      <w:bookmarkEnd w:id="57"/>
    </w:p>
    <w:p w14:paraId="2EAD1FC2">
      <w:pPr>
        <w:autoSpaceDE w:val="0"/>
        <w:autoSpaceDN w:val="0"/>
        <w:adjustRightInd w:val="0"/>
        <w:spacing w:line="360" w:lineRule="auto"/>
        <w:jc w:val="center"/>
        <w:outlineLvl w:val="9"/>
        <w:rPr>
          <w:rFonts w:ascii="仿宋" w:hAnsi="仿宋" w:eastAsia="仿宋" w:cs="宋体"/>
          <w:b/>
          <w:bCs/>
          <w:spacing w:val="-20"/>
          <w:sz w:val="72"/>
          <w:szCs w:val="72"/>
          <w:lang w:val="zh-CN"/>
        </w:rPr>
      </w:pPr>
    </w:p>
    <w:p w14:paraId="65528B85">
      <w:pPr>
        <w:autoSpaceDE w:val="0"/>
        <w:autoSpaceDN w:val="0"/>
        <w:adjustRightInd w:val="0"/>
        <w:spacing w:line="360" w:lineRule="auto"/>
        <w:jc w:val="center"/>
        <w:outlineLvl w:val="0"/>
        <w:rPr>
          <w:rFonts w:ascii="仿宋" w:hAnsi="仿宋" w:eastAsia="仿宋" w:cs="宋体"/>
          <w:b/>
          <w:bCs/>
          <w:spacing w:val="-20"/>
          <w:sz w:val="72"/>
          <w:szCs w:val="72"/>
          <w:lang w:val="zh-CN"/>
        </w:rPr>
      </w:pPr>
      <w:bookmarkStart w:id="58" w:name="_Toc32574"/>
      <w:bookmarkStart w:id="59" w:name="_Toc24683"/>
      <w:bookmarkStart w:id="60" w:name="_Toc11524"/>
      <w:r>
        <w:rPr>
          <w:rFonts w:hint="eastAsia" w:ascii="方正小标宋简体" w:hAnsi="方正小标宋简体" w:eastAsia="方正小标宋简体" w:cs="方正小标宋简体"/>
          <w:spacing w:val="-20"/>
          <w:sz w:val="72"/>
          <w:szCs w:val="72"/>
          <w:lang w:val="zh-CN"/>
        </w:rPr>
        <w:t>申   报  材  料</w:t>
      </w:r>
      <w:bookmarkEnd w:id="58"/>
      <w:bookmarkEnd w:id="59"/>
      <w:bookmarkEnd w:id="60"/>
    </w:p>
    <w:p w14:paraId="38A3CAD1">
      <w:pPr>
        <w:autoSpaceDE w:val="0"/>
        <w:autoSpaceDN w:val="0"/>
        <w:adjustRightInd w:val="0"/>
        <w:spacing w:line="360" w:lineRule="auto"/>
        <w:jc w:val="center"/>
        <w:outlineLvl w:val="9"/>
        <w:rPr>
          <w:rFonts w:ascii="仿宋" w:hAnsi="仿宋" w:eastAsia="仿宋" w:cs="宋体"/>
          <w:bCs/>
          <w:spacing w:val="-20"/>
          <w:sz w:val="44"/>
          <w:szCs w:val="44"/>
          <w:lang w:val="zh-CN"/>
        </w:rPr>
      </w:pPr>
    </w:p>
    <w:p w14:paraId="7C7956AF">
      <w:pPr>
        <w:autoSpaceDE w:val="0"/>
        <w:autoSpaceDN w:val="0"/>
        <w:adjustRightInd w:val="0"/>
        <w:spacing w:line="360" w:lineRule="auto"/>
        <w:jc w:val="center"/>
        <w:outlineLvl w:val="9"/>
        <w:rPr>
          <w:rFonts w:ascii="仿宋" w:hAnsi="仿宋" w:eastAsia="仿宋" w:cs="宋体"/>
          <w:bCs/>
          <w:spacing w:val="-20"/>
          <w:sz w:val="44"/>
          <w:szCs w:val="44"/>
          <w:lang w:val="zh-CN"/>
        </w:rPr>
      </w:pPr>
    </w:p>
    <w:p w14:paraId="3747818B">
      <w:pPr>
        <w:autoSpaceDE w:val="0"/>
        <w:autoSpaceDN w:val="0"/>
        <w:adjustRightInd w:val="0"/>
        <w:spacing w:line="360" w:lineRule="auto"/>
        <w:jc w:val="center"/>
        <w:outlineLvl w:val="9"/>
        <w:rPr>
          <w:rFonts w:ascii="仿宋" w:hAnsi="仿宋" w:eastAsia="仿宋" w:cs="宋体"/>
          <w:bCs/>
          <w:spacing w:val="-20"/>
          <w:sz w:val="44"/>
          <w:szCs w:val="44"/>
          <w:lang w:val="zh-CN"/>
        </w:rPr>
      </w:pPr>
    </w:p>
    <w:p w14:paraId="6964399E">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2B91FAEC">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6A9144E5">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62A6CD86">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5C6EA324">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331618E1">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20B52B5B">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7698A8E1">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49DDD330">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6FB835C8">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1A406C9C">
      <w:pPr>
        <w:autoSpaceDE w:val="0"/>
        <w:autoSpaceDN w:val="0"/>
        <w:adjustRightInd w:val="0"/>
        <w:spacing w:line="500" w:lineRule="exact"/>
        <w:jc w:val="left"/>
        <w:outlineLvl w:val="9"/>
        <w:rPr>
          <w:rFonts w:ascii="仿宋" w:hAnsi="仿宋" w:eastAsia="仿宋" w:cs="宋体"/>
          <w:bCs/>
          <w:spacing w:val="-20"/>
          <w:sz w:val="36"/>
          <w:szCs w:val="36"/>
          <w:lang w:val="zh-CN"/>
        </w:rPr>
      </w:pPr>
    </w:p>
    <w:p w14:paraId="3AE69A82">
      <w:pPr>
        <w:autoSpaceDE w:val="0"/>
        <w:autoSpaceDN w:val="0"/>
        <w:adjustRightInd w:val="0"/>
        <w:spacing w:line="500" w:lineRule="exact"/>
        <w:jc w:val="left"/>
        <w:outlineLvl w:val="0"/>
        <w:rPr>
          <w:rFonts w:ascii="仿宋" w:hAnsi="仿宋" w:eastAsia="仿宋" w:cs="宋体"/>
          <w:b/>
          <w:bCs/>
          <w:spacing w:val="-20"/>
          <w:sz w:val="36"/>
          <w:szCs w:val="36"/>
          <w:u w:val="single"/>
          <w:lang w:val="zh-CN"/>
        </w:rPr>
      </w:pPr>
      <w:r>
        <w:rPr>
          <w:rFonts w:hint="eastAsia" w:ascii="仿宋" w:hAnsi="仿宋" w:eastAsia="仿宋" w:cs="宋体"/>
          <w:bCs/>
          <w:spacing w:val="-20"/>
          <w:sz w:val="36"/>
          <w:szCs w:val="36"/>
        </w:rPr>
        <w:t xml:space="preserve">     </w:t>
      </w:r>
      <w:bookmarkStart w:id="61" w:name="_Toc11196"/>
      <w:bookmarkStart w:id="62" w:name="_Toc14220"/>
      <w:bookmarkStart w:id="63" w:name="_Toc15920"/>
      <w:r>
        <w:rPr>
          <w:rFonts w:hint="eastAsia" w:ascii="仿宋" w:hAnsi="仿宋" w:eastAsia="仿宋" w:cs="宋体"/>
          <w:bCs/>
          <w:spacing w:val="-20"/>
          <w:sz w:val="36"/>
          <w:szCs w:val="36"/>
          <w:lang w:val="zh-CN"/>
        </w:rPr>
        <w:t>申报</w:t>
      </w:r>
      <w:r>
        <w:rPr>
          <w:rFonts w:hint="eastAsia" w:ascii="仿宋" w:hAnsi="仿宋" w:cs="宋体"/>
          <w:bCs/>
          <w:spacing w:val="-20"/>
          <w:sz w:val="36"/>
          <w:szCs w:val="36"/>
          <w:lang w:val="zh-CN"/>
        </w:rPr>
        <w:t>企业</w:t>
      </w:r>
      <w:r>
        <w:rPr>
          <w:rFonts w:hint="eastAsia" w:ascii="仿宋" w:hAnsi="仿宋" w:eastAsia="仿宋" w:cs="宋体"/>
          <w:bCs/>
          <w:spacing w:val="-20"/>
          <w:sz w:val="36"/>
          <w:szCs w:val="36"/>
          <w:lang w:val="zh-CN"/>
        </w:rPr>
        <w:t>名称：</w:t>
      </w:r>
      <w:bookmarkEnd w:id="61"/>
      <w:bookmarkEnd w:id="62"/>
      <w:bookmarkEnd w:id="63"/>
      <w:r>
        <w:rPr>
          <w:rFonts w:hint="eastAsia" w:ascii="仿宋" w:hAnsi="仿宋" w:eastAsia="仿宋" w:cs="宋体"/>
          <w:b/>
          <w:bCs/>
          <w:spacing w:val="-20"/>
          <w:sz w:val="36"/>
          <w:szCs w:val="36"/>
          <w:u w:val="single"/>
          <w:lang w:val="zh-CN"/>
        </w:rPr>
        <w:t xml:space="preserve">                                      </w:t>
      </w:r>
    </w:p>
    <w:p w14:paraId="72D63125">
      <w:pPr>
        <w:autoSpaceDE w:val="0"/>
        <w:autoSpaceDN w:val="0"/>
        <w:adjustRightInd w:val="0"/>
        <w:spacing w:line="500" w:lineRule="exact"/>
        <w:ind w:firstLine="964" w:firstLineChars="300"/>
        <w:jc w:val="left"/>
        <w:outlineLvl w:val="9"/>
        <w:rPr>
          <w:rFonts w:ascii="仿宋" w:hAnsi="仿宋" w:eastAsia="仿宋" w:cs="宋体"/>
          <w:b/>
          <w:bCs/>
          <w:spacing w:val="-20"/>
          <w:sz w:val="36"/>
          <w:szCs w:val="36"/>
          <w:lang w:val="zh-CN"/>
        </w:rPr>
      </w:pPr>
    </w:p>
    <w:p w14:paraId="138E2044">
      <w:pPr>
        <w:spacing w:line="600" w:lineRule="exact"/>
        <w:rPr>
          <w:rFonts w:ascii="仿宋" w:hAnsi="仿宋" w:eastAsia="仿宋"/>
          <w:bCs/>
          <w:spacing w:val="-20"/>
          <w:sz w:val="24"/>
        </w:rPr>
      </w:pPr>
    </w:p>
    <w:p w14:paraId="295349B1">
      <w:pPr>
        <w:spacing w:line="600" w:lineRule="exact"/>
        <w:rPr>
          <w:rFonts w:ascii="黑体" w:hAnsi="黑体" w:eastAsia="黑体" w:cs="黑体"/>
          <w:bCs/>
          <w:spacing w:val="-20"/>
          <w:sz w:val="32"/>
          <w:szCs w:val="32"/>
        </w:rPr>
      </w:pPr>
      <w:r>
        <w:rPr>
          <w:rFonts w:hint="eastAsia" w:ascii="黑体" w:hAnsi="黑体" w:eastAsia="黑体" w:cs="黑体"/>
          <w:bCs/>
          <w:spacing w:val="-20"/>
          <w:sz w:val="32"/>
          <w:szCs w:val="32"/>
        </w:rPr>
        <w:t xml:space="preserve">格式文件1－2 </w:t>
      </w:r>
    </w:p>
    <w:p w14:paraId="770C4486">
      <w:pPr>
        <w:spacing w:line="600" w:lineRule="exact"/>
        <w:rPr>
          <w:rFonts w:ascii="方正小标宋简体" w:hAnsi="方正小标宋简体" w:eastAsia="方正小标宋简体" w:cs="方正小标宋简体"/>
          <w:bCs/>
          <w:spacing w:val="-20"/>
          <w:sz w:val="24"/>
        </w:rPr>
      </w:pPr>
      <w:r>
        <w:rPr>
          <w:rFonts w:hint="eastAsia" w:ascii="仿宋" w:hAnsi="仿宋" w:eastAsia="仿宋"/>
          <w:bCs/>
          <w:spacing w:val="-20"/>
          <w:sz w:val="24"/>
        </w:rPr>
        <w:t xml:space="preserve">                              </w:t>
      </w:r>
    </w:p>
    <w:p w14:paraId="2E27AAFD">
      <w:pPr>
        <w:spacing w:line="600" w:lineRule="exact"/>
        <w:ind w:firstLine="2600" w:firstLineChars="1300"/>
        <w:rPr>
          <w:rFonts w:ascii="方正小标宋简体" w:hAnsi="方正小标宋简体" w:eastAsia="方正小标宋简体" w:cs="方正小标宋简体"/>
          <w:b/>
          <w:spacing w:val="20"/>
          <w:sz w:val="44"/>
        </w:rPr>
      </w:pPr>
      <w:r>
        <w:rPr>
          <w:rFonts w:hint="eastAsia" w:ascii="方正小标宋简体" w:hAnsi="方正小标宋简体" w:eastAsia="方正小标宋简体" w:cs="方正小标宋简体"/>
          <w:bCs/>
          <w:spacing w:val="-20"/>
          <w:sz w:val="24"/>
        </w:rPr>
        <w:t xml:space="preserve">  </w:t>
      </w:r>
      <w:r>
        <w:rPr>
          <w:rFonts w:hint="eastAsia" w:ascii="方正小标宋简体" w:hAnsi="方正小标宋简体" w:eastAsia="方正小标宋简体" w:cs="方正小标宋简体"/>
          <w:b/>
          <w:spacing w:val="20"/>
          <w:sz w:val="44"/>
        </w:rPr>
        <w:t>法定代表人授权书</w:t>
      </w:r>
    </w:p>
    <w:p w14:paraId="42B60769">
      <w:pPr>
        <w:spacing w:line="276" w:lineRule="auto"/>
        <w:rPr>
          <w:rFonts w:ascii="方正小标宋简体" w:hAnsi="方正小标宋简体" w:eastAsia="方正小标宋简体" w:cs="方正小标宋简体"/>
          <w:spacing w:val="-20"/>
          <w:sz w:val="30"/>
          <w:szCs w:val="30"/>
        </w:rPr>
      </w:pPr>
    </w:p>
    <w:p w14:paraId="411BD2CE">
      <w:pPr>
        <w:spacing w:line="276" w:lineRule="auto"/>
        <w:rPr>
          <w:rFonts w:ascii="楷体" w:hAnsi="楷体" w:eastAsia="楷体"/>
          <w:spacing w:val="-20"/>
          <w:sz w:val="30"/>
          <w:szCs w:val="30"/>
        </w:rPr>
      </w:pPr>
      <w:r>
        <w:rPr>
          <w:rFonts w:hint="eastAsia" w:ascii="楷体" w:hAnsi="楷体" w:eastAsia="楷体"/>
          <w:spacing w:val="-20"/>
          <w:sz w:val="30"/>
          <w:szCs w:val="30"/>
        </w:rPr>
        <w:t>致：陕西省公共资源交易中心</w:t>
      </w:r>
    </w:p>
    <w:p w14:paraId="0FD588B6">
      <w:pPr>
        <w:spacing w:before="156" w:beforeLines="50" w:line="60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本授权书声明：注册于（企业地址）的（企业名称）（法定代表人姓名、职务）代表本企业授权（被授权人姓名）为本企业的唯一合法代理人，就本公司生产（经营）的</w:t>
      </w:r>
      <w:r>
        <w:rPr>
          <w:rFonts w:hint="eastAsia" w:ascii="仿宋" w:hAnsi="仿宋" w:eastAsia="仿宋" w:cs="仿宋"/>
          <w:sz w:val="28"/>
          <w:szCs w:val="28"/>
          <w:lang w:eastAsia="zh-CN"/>
        </w:rPr>
        <w:t>心脏起搏器</w:t>
      </w:r>
      <w:r>
        <w:rPr>
          <w:rFonts w:hint="eastAsia" w:ascii="仿宋" w:hAnsi="仿宋" w:eastAsia="仿宋"/>
          <w:spacing w:val="-20"/>
          <w:sz w:val="28"/>
          <w:szCs w:val="28"/>
        </w:rPr>
        <w:t>，在</w:t>
      </w:r>
      <w:r>
        <w:rPr>
          <w:rFonts w:hint="eastAsia" w:ascii="仿宋" w:hAnsi="仿宋" w:eastAsia="仿宋"/>
          <w:color w:val="auto"/>
          <w:spacing w:val="-20"/>
          <w:sz w:val="28"/>
          <w:szCs w:val="28"/>
        </w:rPr>
        <w:t>“省际联盟心脏起搏器协议期满接续集中带量采购”</w:t>
      </w:r>
      <w:r>
        <w:rPr>
          <w:rFonts w:hint="eastAsia" w:ascii="仿宋" w:hAnsi="仿宋" w:eastAsia="仿宋"/>
          <w:spacing w:val="-20"/>
          <w:sz w:val="28"/>
          <w:szCs w:val="28"/>
        </w:rPr>
        <w:t>中进行申报，并在整个联合带量采购活动中，以本公司名义全权处理包括</w:t>
      </w:r>
      <w:r>
        <w:rPr>
          <w:rFonts w:hint="eastAsia" w:ascii="楷体" w:hAnsi="楷体" w:eastAsia="楷体"/>
          <w:spacing w:val="-20"/>
          <w:sz w:val="28"/>
          <w:szCs w:val="28"/>
          <w:u w:val="single"/>
        </w:rPr>
        <w:t>企业报名、材料申报、价格</w:t>
      </w:r>
      <w:r>
        <w:rPr>
          <w:rFonts w:hint="eastAsia" w:ascii="楷体" w:hAnsi="楷体" w:eastAsia="楷体"/>
          <w:spacing w:val="-20"/>
          <w:sz w:val="28"/>
          <w:szCs w:val="28"/>
          <w:u w:val="single"/>
          <w:lang w:eastAsia="zh-CN"/>
        </w:rPr>
        <w:t>申报</w:t>
      </w:r>
      <w:r>
        <w:rPr>
          <w:rFonts w:hint="eastAsia" w:ascii="楷体" w:hAnsi="楷体" w:eastAsia="楷体"/>
          <w:spacing w:val="-20"/>
          <w:sz w:val="28"/>
          <w:szCs w:val="28"/>
          <w:u w:val="single"/>
        </w:rPr>
        <w:t>、申诉投诉处理等一切有关的事务</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14:paraId="0B760FB7">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w:t>
      </w:r>
      <w:r>
        <w:rPr>
          <w:rFonts w:hint="eastAsia" w:ascii="仿宋" w:hAnsi="仿宋"/>
          <w:spacing w:val="-20"/>
          <w:sz w:val="28"/>
          <w:szCs w:val="28"/>
          <w:lang w:eastAsia="zh-CN"/>
        </w:rPr>
        <w:t>自</w:t>
      </w:r>
      <w:r>
        <w:rPr>
          <w:rFonts w:hint="eastAsia" w:ascii="仿宋" w:hAnsi="仿宋"/>
          <w:spacing w:val="-20"/>
          <w:sz w:val="28"/>
          <w:szCs w:val="28"/>
          <w:lang w:val="en-US" w:eastAsia="zh-CN"/>
        </w:rPr>
        <w:t xml:space="preserve"> </w:t>
      </w:r>
      <w:r>
        <w:rPr>
          <w:rFonts w:hint="eastAsia" w:ascii="仿宋" w:hAnsi="仿宋"/>
          <w:spacing w:val="-20"/>
          <w:sz w:val="28"/>
          <w:szCs w:val="28"/>
          <w:u w:val="single"/>
          <w:lang w:val="en-US" w:eastAsia="zh-CN"/>
        </w:rPr>
        <w:t xml:space="preserve">     </w:t>
      </w:r>
      <w:r>
        <w:rPr>
          <w:rFonts w:hint="eastAsia" w:ascii="仿宋" w:hAnsi="仿宋" w:eastAsia="仿宋"/>
          <w:spacing w:val="-20"/>
          <w:sz w:val="28"/>
          <w:szCs w:val="28"/>
        </w:rPr>
        <w:t>年</w:t>
      </w:r>
      <w:r>
        <w:rPr>
          <w:rFonts w:hint="eastAsia" w:ascii="仿宋" w:hAnsi="仿宋"/>
          <w:spacing w:val="-20"/>
          <w:sz w:val="28"/>
          <w:szCs w:val="28"/>
          <w:lang w:val="en-US" w:eastAsia="zh-CN"/>
        </w:rPr>
        <w:t xml:space="preserve"> </w:t>
      </w:r>
      <w:r>
        <w:rPr>
          <w:rFonts w:hint="eastAsia" w:ascii="仿宋" w:hAnsi="仿宋"/>
          <w:spacing w:val="-20"/>
          <w:sz w:val="28"/>
          <w:szCs w:val="28"/>
          <w:u w:val="single"/>
          <w:lang w:val="en-US" w:eastAsia="zh-CN"/>
        </w:rPr>
        <w:t xml:space="preserve">     </w:t>
      </w:r>
      <w:r>
        <w:rPr>
          <w:rFonts w:hint="eastAsia" w:ascii="仿宋" w:hAnsi="仿宋" w:eastAsia="仿宋"/>
          <w:spacing w:val="-20"/>
          <w:sz w:val="28"/>
          <w:szCs w:val="28"/>
        </w:rPr>
        <w:t>月</w:t>
      </w:r>
      <w:r>
        <w:rPr>
          <w:rFonts w:hint="eastAsia" w:ascii="仿宋" w:hAnsi="仿宋"/>
          <w:spacing w:val="-20"/>
          <w:sz w:val="28"/>
          <w:szCs w:val="28"/>
          <w:u w:val="single"/>
          <w:lang w:val="en-US" w:eastAsia="zh-CN"/>
        </w:rPr>
        <w:t xml:space="preserve">     </w:t>
      </w:r>
      <w:r>
        <w:rPr>
          <w:rFonts w:hint="eastAsia" w:ascii="仿宋" w:hAnsi="仿宋"/>
          <w:spacing w:val="-20"/>
          <w:sz w:val="28"/>
          <w:szCs w:val="28"/>
          <w:lang w:val="en-US" w:eastAsia="zh-CN"/>
        </w:rPr>
        <w:t>日</w:t>
      </w:r>
      <w:r>
        <w:rPr>
          <w:rFonts w:hint="eastAsia" w:ascii="仿宋" w:hAnsi="仿宋" w:eastAsia="仿宋"/>
          <w:spacing w:val="-20"/>
          <w:sz w:val="28"/>
          <w:szCs w:val="28"/>
        </w:rPr>
        <w:t>起至本次入围产品采购期结束。</w:t>
      </w:r>
    </w:p>
    <w:p w14:paraId="18EAACC0">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14:paraId="303EEE1D">
      <w:pPr>
        <w:spacing w:line="600" w:lineRule="exact"/>
        <w:rPr>
          <w:rFonts w:ascii="仿宋" w:hAnsi="仿宋" w:eastAsia="仿宋"/>
          <w:spacing w:val="-20"/>
          <w:sz w:val="28"/>
          <w:szCs w:val="28"/>
        </w:rPr>
      </w:pPr>
      <w:r>
        <w:rPr>
          <w:rFonts w:hint="eastAsia" w:ascii="仿宋" w:hAnsi="仿宋" w:eastAsia="仿宋"/>
          <w:spacing w:val="-20"/>
          <w:sz w:val="28"/>
          <w:szCs w:val="28"/>
        </w:rPr>
        <w:t>授权单位名称和盖章</w:t>
      </w:r>
    </w:p>
    <w:p w14:paraId="2B9CBE2C">
      <w:pPr>
        <w:snapToGrid w:val="0"/>
        <w:spacing w:line="600" w:lineRule="exac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14:paraId="287DD209">
      <w:pPr>
        <w:snapToGrid w:val="0"/>
        <w:spacing w:line="600" w:lineRule="exac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手机：                                  固定电话：</w:t>
      </w:r>
    </w:p>
    <w:p w14:paraId="22F36E38">
      <w:pPr>
        <w:spacing w:line="600" w:lineRule="exact"/>
        <w:rPr>
          <w:rFonts w:ascii="仿宋" w:hAnsi="仿宋" w:eastAsia="仿宋"/>
          <w:spacing w:val="-20"/>
        </w:rPr>
      </w:pPr>
      <w:r>
        <mc:AlternateContent>
          <mc:Choice Requires="wps">
            <w:drawing>
              <wp:anchor distT="0" distB="0" distL="114300" distR="114300" simplePos="0" relativeHeight="251659264" behindDoc="0" locked="0" layoutInCell="1" allowOverlap="1">
                <wp:simplePos x="0" y="0"/>
                <wp:positionH relativeFrom="column">
                  <wp:posOffset>2828925</wp:posOffset>
                </wp:positionH>
                <wp:positionV relativeFrom="paragraph">
                  <wp:posOffset>109220</wp:posOffset>
                </wp:positionV>
                <wp:extent cx="2533650" cy="1599565"/>
                <wp:effectExtent l="4445" t="4445" r="14605" b="15240"/>
                <wp:wrapNone/>
                <wp:docPr id="25" name="矩形 25"/>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FE5E34">
                            <w:pPr>
                              <w:jc w:val="center"/>
                              <w:rPr>
                                <w:rFonts w:ascii="宋体"/>
                                <w:b/>
                                <w:sz w:val="28"/>
                              </w:rPr>
                            </w:pPr>
                            <w:r>
                              <w:rPr>
                                <w:rFonts w:hint="eastAsia" w:ascii="宋体" w:hAnsi="宋体"/>
                                <w:b/>
                                <w:sz w:val="28"/>
                              </w:rPr>
                              <w:t>被授权人</w:t>
                            </w:r>
                          </w:p>
                          <w:p w14:paraId="19BBD038">
                            <w:pPr>
                              <w:spacing w:line="360" w:lineRule="auto"/>
                              <w:jc w:val="center"/>
                              <w:rPr>
                                <w:rFonts w:ascii="宋体"/>
                                <w:b/>
                                <w:sz w:val="28"/>
                              </w:rPr>
                            </w:pPr>
                            <w:r>
                              <w:rPr>
                                <w:rFonts w:hint="eastAsia" w:ascii="宋体" w:hAnsi="宋体"/>
                                <w:b/>
                                <w:sz w:val="28"/>
                              </w:rPr>
                              <w:t>居民身份证复印件粘贴处</w:t>
                            </w:r>
                          </w:p>
                          <w:p w14:paraId="72262243">
                            <w:pPr>
                              <w:spacing w:line="360" w:lineRule="auto"/>
                              <w:jc w:val="center"/>
                              <w:rPr>
                                <w:rFonts w:ascii="仿宋_GB2312" w:hAnsi="宋体"/>
                                <w:sz w:val="24"/>
                              </w:rPr>
                            </w:pPr>
                            <w:r>
                              <w:rPr>
                                <w:rFonts w:hint="eastAsia" w:ascii="仿宋_GB2312" w:hAnsi="宋体"/>
                                <w:sz w:val="24"/>
                              </w:rPr>
                              <w:t>（骑缝处加盖企业公章）</w:t>
                            </w:r>
                          </w:p>
                          <w:p w14:paraId="3F1C1EFE">
                            <w:pPr>
                              <w:jc w:val="center"/>
                              <w:rPr>
                                <w:rFonts w:ascii="宋体"/>
                                <w:b/>
                                <w:sz w:val="28"/>
                              </w:rPr>
                            </w:pPr>
                          </w:p>
                          <w:p w14:paraId="3058A039">
                            <w:pPr>
                              <w:jc w:val="center"/>
                              <w:rPr>
                                <w:rFonts w:ascii="宋体"/>
                                <w:b/>
                                <w:sz w:val="28"/>
                              </w:rPr>
                            </w:pPr>
                          </w:p>
                          <w:p w14:paraId="3673C5CA">
                            <w:pPr>
                              <w:jc w:val="center"/>
                              <w:rPr>
                                <w:rFonts w:ascii="宋体"/>
                                <w:b/>
                                <w:sz w:val="28"/>
                              </w:rPr>
                            </w:pPr>
                          </w:p>
                          <w:p w14:paraId="0904FE43">
                            <w:pPr>
                              <w:jc w:val="center"/>
                              <w:rPr>
                                <w:rFonts w:ascii="宋体"/>
                                <w:b/>
                                <w:sz w:val="28"/>
                              </w:rPr>
                            </w:pPr>
                          </w:p>
                          <w:p w14:paraId="63B7A522">
                            <w:pPr>
                              <w:jc w:val="center"/>
                              <w:rPr>
                                <w:rFonts w:ascii="宋体"/>
                                <w:sz w:val="28"/>
                              </w:rPr>
                            </w:pPr>
                          </w:p>
                        </w:txbxContent>
                      </wps:txbx>
                      <wps:bodyPr upright="1"/>
                    </wps:wsp>
                  </a:graphicData>
                </a:graphic>
              </wp:anchor>
            </w:drawing>
          </mc:Choice>
          <mc:Fallback>
            <w:pict>
              <v:rect id="_x0000_s1026" o:spid="_x0000_s1026" o:spt="1" style="position:absolute;left:0pt;margin-left:222.75pt;margin-top:8.6pt;height:125.95pt;width:199.5pt;z-index:251659264;mso-width-relative:page;mso-height-relative:page;" fillcolor="#FFFFFF" filled="t" stroked="t"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wKGw2AAAAAoBAAAPAAAAAAAAAAEAIAAAACIA&#10;AABkcnMvZG93bnJldi54bWxQSwECFAAUAAAACACHTuJAkfzxiAkCAAA6BAAADgAAAAAAAAABACAA&#10;AAAnAQAAZHJzL2Uyb0RvYy54bWxQSwUGAAAAAAYABgBZAQAAogUAAAAA&#10;">
                <v:fill on="t" focussize="0,0"/>
                <v:stroke color="#000000" joinstyle="miter"/>
                <v:imagedata o:title=""/>
                <o:lock v:ext="edit" aspectratio="f"/>
                <v:textbox>
                  <w:txbxContent>
                    <w:p w14:paraId="49FE5E34">
                      <w:pPr>
                        <w:jc w:val="center"/>
                        <w:rPr>
                          <w:rFonts w:ascii="宋体"/>
                          <w:b/>
                          <w:sz w:val="28"/>
                        </w:rPr>
                      </w:pPr>
                      <w:r>
                        <w:rPr>
                          <w:rFonts w:hint="eastAsia" w:ascii="宋体" w:hAnsi="宋体"/>
                          <w:b/>
                          <w:sz w:val="28"/>
                        </w:rPr>
                        <w:t>被授权人</w:t>
                      </w:r>
                    </w:p>
                    <w:p w14:paraId="19BBD038">
                      <w:pPr>
                        <w:spacing w:line="360" w:lineRule="auto"/>
                        <w:jc w:val="center"/>
                        <w:rPr>
                          <w:rFonts w:ascii="宋体"/>
                          <w:b/>
                          <w:sz w:val="28"/>
                        </w:rPr>
                      </w:pPr>
                      <w:r>
                        <w:rPr>
                          <w:rFonts w:hint="eastAsia" w:ascii="宋体" w:hAnsi="宋体"/>
                          <w:b/>
                          <w:sz w:val="28"/>
                        </w:rPr>
                        <w:t>居民身份证复印件粘贴处</w:t>
                      </w:r>
                    </w:p>
                    <w:p w14:paraId="72262243">
                      <w:pPr>
                        <w:spacing w:line="360" w:lineRule="auto"/>
                        <w:jc w:val="center"/>
                        <w:rPr>
                          <w:rFonts w:ascii="仿宋_GB2312" w:hAnsi="宋体"/>
                          <w:sz w:val="24"/>
                        </w:rPr>
                      </w:pPr>
                      <w:r>
                        <w:rPr>
                          <w:rFonts w:hint="eastAsia" w:ascii="仿宋_GB2312" w:hAnsi="宋体"/>
                          <w:sz w:val="24"/>
                        </w:rPr>
                        <w:t>（骑缝处加盖企业公章）</w:t>
                      </w:r>
                    </w:p>
                    <w:p w14:paraId="3F1C1EFE">
                      <w:pPr>
                        <w:jc w:val="center"/>
                        <w:rPr>
                          <w:rFonts w:ascii="宋体"/>
                          <w:b/>
                          <w:sz w:val="28"/>
                        </w:rPr>
                      </w:pPr>
                    </w:p>
                    <w:p w14:paraId="3058A039">
                      <w:pPr>
                        <w:jc w:val="center"/>
                        <w:rPr>
                          <w:rFonts w:ascii="宋体"/>
                          <w:b/>
                          <w:sz w:val="28"/>
                        </w:rPr>
                      </w:pPr>
                    </w:p>
                    <w:p w14:paraId="3673C5CA">
                      <w:pPr>
                        <w:jc w:val="center"/>
                        <w:rPr>
                          <w:rFonts w:ascii="宋体"/>
                          <w:b/>
                          <w:sz w:val="28"/>
                        </w:rPr>
                      </w:pPr>
                    </w:p>
                    <w:p w14:paraId="0904FE43">
                      <w:pPr>
                        <w:jc w:val="center"/>
                        <w:rPr>
                          <w:rFonts w:ascii="宋体"/>
                          <w:b/>
                          <w:sz w:val="28"/>
                        </w:rPr>
                      </w:pPr>
                    </w:p>
                    <w:p w14:paraId="63B7A522">
                      <w:pPr>
                        <w:jc w:val="center"/>
                        <w:rPr>
                          <w:rFonts w:ascii="宋体"/>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109220</wp:posOffset>
                </wp:positionV>
                <wp:extent cx="2676525" cy="1599565"/>
                <wp:effectExtent l="4445" t="4445" r="5080" b="15240"/>
                <wp:wrapNone/>
                <wp:docPr id="26" name="矩形 26"/>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A3FB04">
                            <w:pPr>
                              <w:jc w:val="center"/>
                              <w:rPr>
                                <w:rFonts w:ascii="宋体"/>
                                <w:b/>
                                <w:sz w:val="28"/>
                              </w:rPr>
                            </w:pPr>
                            <w:r>
                              <w:rPr>
                                <w:rFonts w:hint="eastAsia" w:ascii="宋体" w:hAnsi="宋体"/>
                                <w:b/>
                                <w:sz w:val="28"/>
                              </w:rPr>
                              <w:t>法人代表</w:t>
                            </w:r>
                          </w:p>
                          <w:p w14:paraId="7C4D80AA">
                            <w:pPr>
                              <w:spacing w:line="360" w:lineRule="auto"/>
                              <w:jc w:val="center"/>
                              <w:rPr>
                                <w:rFonts w:ascii="宋体"/>
                                <w:b/>
                                <w:sz w:val="28"/>
                              </w:rPr>
                            </w:pPr>
                            <w:r>
                              <w:rPr>
                                <w:rFonts w:hint="eastAsia" w:ascii="宋体" w:hAnsi="宋体"/>
                                <w:b/>
                                <w:sz w:val="28"/>
                              </w:rPr>
                              <w:t>居民身份证复印件粘贴处</w:t>
                            </w:r>
                          </w:p>
                          <w:p w14:paraId="53B9AED6">
                            <w:pPr>
                              <w:spacing w:line="360" w:lineRule="auto"/>
                              <w:jc w:val="center"/>
                              <w:rPr>
                                <w:rFonts w:ascii="仿宋_GB2312" w:hAnsi="宋体"/>
                                <w:sz w:val="24"/>
                              </w:rPr>
                            </w:pPr>
                            <w:r>
                              <w:rPr>
                                <w:rFonts w:hint="eastAsia" w:ascii="仿宋_GB2312" w:hAnsi="宋体"/>
                                <w:sz w:val="24"/>
                              </w:rPr>
                              <w:t>（骑缝处加盖企业公章）</w:t>
                            </w:r>
                          </w:p>
                          <w:p w14:paraId="28025BA9">
                            <w:pPr>
                              <w:jc w:val="center"/>
                              <w:rPr>
                                <w:rFonts w:ascii="宋体"/>
                                <w:sz w:val="28"/>
                              </w:rPr>
                            </w:pPr>
                          </w:p>
                        </w:txbxContent>
                      </wps:txbx>
                      <wps:bodyPr upright="1"/>
                    </wps:wsp>
                  </a:graphicData>
                </a:graphic>
              </wp:anchor>
            </w:drawing>
          </mc:Choice>
          <mc:Fallback>
            <w:pict>
              <v:rect id="_x0000_s1026" o:spid="_x0000_s1026" o:spt="1" style="position:absolute;left:0pt;margin-left:3pt;margin-top:8.6pt;height:125.95pt;width:210.75pt;z-index:251660288;mso-width-relative:page;mso-height-relative:page;" fillcolor="#FFFFFF" filled="t" stroked="t"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cn47NcAAAAIAQAADwAAAAAAAAABACAAAAAiAAAAZHJz&#10;L2Rvd25yZXYueG1sUEsBAhQAFAAAAAgAh07iQB2BPacFAgAAOgQAAA4AAAAAAAAAAQAgAAAAJgEA&#10;AGRycy9lMm9Eb2MueG1sUEsFBgAAAAAGAAYAWQEAAJ0FAAAAAA==&#10;">
                <v:fill on="t" focussize="0,0"/>
                <v:stroke color="#000000" joinstyle="miter"/>
                <v:imagedata o:title=""/>
                <o:lock v:ext="edit" aspectratio="f"/>
                <v:textbox>
                  <w:txbxContent>
                    <w:p w14:paraId="1EA3FB04">
                      <w:pPr>
                        <w:jc w:val="center"/>
                        <w:rPr>
                          <w:rFonts w:ascii="宋体"/>
                          <w:b/>
                          <w:sz w:val="28"/>
                        </w:rPr>
                      </w:pPr>
                      <w:r>
                        <w:rPr>
                          <w:rFonts w:hint="eastAsia" w:ascii="宋体" w:hAnsi="宋体"/>
                          <w:b/>
                          <w:sz w:val="28"/>
                        </w:rPr>
                        <w:t>法人代表</w:t>
                      </w:r>
                    </w:p>
                    <w:p w14:paraId="7C4D80AA">
                      <w:pPr>
                        <w:spacing w:line="360" w:lineRule="auto"/>
                        <w:jc w:val="center"/>
                        <w:rPr>
                          <w:rFonts w:ascii="宋体"/>
                          <w:b/>
                          <w:sz w:val="28"/>
                        </w:rPr>
                      </w:pPr>
                      <w:r>
                        <w:rPr>
                          <w:rFonts w:hint="eastAsia" w:ascii="宋体" w:hAnsi="宋体"/>
                          <w:b/>
                          <w:sz w:val="28"/>
                        </w:rPr>
                        <w:t>居民身份证复印件粘贴处</w:t>
                      </w:r>
                    </w:p>
                    <w:p w14:paraId="53B9AED6">
                      <w:pPr>
                        <w:spacing w:line="360" w:lineRule="auto"/>
                        <w:jc w:val="center"/>
                        <w:rPr>
                          <w:rFonts w:ascii="仿宋_GB2312" w:hAnsi="宋体"/>
                          <w:sz w:val="24"/>
                        </w:rPr>
                      </w:pPr>
                      <w:r>
                        <w:rPr>
                          <w:rFonts w:hint="eastAsia" w:ascii="仿宋_GB2312" w:hAnsi="宋体"/>
                          <w:sz w:val="24"/>
                        </w:rPr>
                        <w:t>（骑缝处加盖企业公章）</w:t>
                      </w:r>
                    </w:p>
                    <w:p w14:paraId="28025BA9">
                      <w:pPr>
                        <w:jc w:val="center"/>
                        <w:rPr>
                          <w:rFonts w:ascii="宋体"/>
                          <w:sz w:val="28"/>
                        </w:rPr>
                      </w:pPr>
                    </w:p>
                  </w:txbxContent>
                </v:textbox>
              </v:rect>
            </w:pict>
          </mc:Fallback>
        </mc:AlternateContent>
      </w:r>
    </w:p>
    <w:p w14:paraId="345F8B45">
      <w:pPr>
        <w:tabs>
          <w:tab w:val="left" w:pos="5040"/>
        </w:tabs>
        <w:spacing w:line="600" w:lineRule="exact"/>
        <w:rPr>
          <w:rFonts w:ascii="仿宋" w:hAnsi="仿宋" w:eastAsia="仿宋"/>
          <w:spacing w:val="-20"/>
        </w:rPr>
      </w:pPr>
      <w:r>
        <w:rPr>
          <w:rFonts w:ascii="仿宋" w:hAnsi="仿宋" w:eastAsia="仿宋"/>
          <w:spacing w:val="-20"/>
        </w:rPr>
        <w:tab/>
      </w:r>
    </w:p>
    <w:p w14:paraId="688B0823">
      <w:pPr>
        <w:tabs>
          <w:tab w:val="left" w:pos="5040"/>
        </w:tabs>
        <w:spacing w:line="600" w:lineRule="exact"/>
        <w:rPr>
          <w:rFonts w:ascii="仿宋" w:hAnsi="仿宋" w:eastAsia="仿宋"/>
          <w:spacing w:val="-20"/>
        </w:rPr>
      </w:pPr>
    </w:p>
    <w:p w14:paraId="5A52025C">
      <w:pPr>
        <w:tabs>
          <w:tab w:val="left" w:pos="5040"/>
        </w:tabs>
        <w:spacing w:line="600" w:lineRule="exact"/>
        <w:rPr>
          <w:rFonts w:ascii="仿宋" w:hAnsi="仿宋" w:eastAsia="仿宋"/>
          <w:spacing w:val="-20"/>
        </w:rPr>
      </w:pPr>
    </w:p>
    <w:p w14:paraId="21380F17">
      <w:pPr>
        <w:widowControl/>
        <w:spacing w:line="560" w:lineRule="exact"/>
        <w:jc w:val="left"/>
        <w:rPr>
          <w:rFonts w:hint="eastAsia" w:ascii="黑体" w:hAnsi="黑体" w:eastAsia="黑体" w:cs="黑体"/>
          <w:bCs/>
          <w:spacing w:val="-20"/>
          <w:sz w:val="32"/>
          <w:szCs w:val="32"/>
        </w:rPr>
      </w:pPr>
    </w:p>
    <w:p w14:paraId="5370C80F">
      <w:pPr>
        <w:widowControl/>
        <w:spacing w:line="560" w:lineRule="exact"/>
        <w:jc w:val="left"/>
        <w:rPr>
          <w:rFonts w:hint="eastAsia" w:ascii="黑体" w:hAnsi="黑体" w:eastAsia="黑体" w:cs="黑体"/>
          <w:bCs/>
          <w:spacing w:val="-20"/>
          <w:sz w:val="32"/>
          <w:szCs w:val="32"/>
        </w:rPr>
      </w:pPr>
    </w:p>
    <w:p w14:paraId="16AD79DE">
      <w:pPr>
        <w:keepNext w:val="0"/>
        <w:keepLines w:val="0"/>
        <w:pageBreakBefore w:val="0"/>
        <w:widowControl/>
        <w:kinsoku/>
        <w:wordWrap/>
        <w:overflowPunct/>
        <w:topLinePunct w:val="0"/>
        <w:autoSpaceDE/>
        <w:autoSpaceDN/>
        <w:bidi w:val="0"/>
        <w:adjustRightInd/>
        <w:spacing w:line="480" w:lineRule="exact"/>
        <w:jc w:val="left"/>
        <w:textAlignment w:val="auto"/>
        <w:rPr>
          <w:rFonts w:ascii="方正小标宋简体" w:hAnsi="方正小标宋简体" w:eastAsia="方正小标宋简体" w:cs="方正小标宋简体"/>
          <w:sz w:val="44"/>
          <w:szCs w:val="44"/>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3</w:t>
      </w:r>
    </w:p>
    <w:p w14:paraId="6F02429F">
      <w:pPr>
        <w:keepNext w:val="0"/>
        <w:keepLines w:val="0"/>
        <w:pageBreakBefore w:val="0"/>
        <w:tabs>
          <w:tab w:val="left" w:pos="1515"/>
          <w:tab w:val="center" w:pos="4153"/>
        </w:tabs>
        <w:kinsoku/>
        <w:wordWrap/>
        <w:overflowPunct/>
        <w:topLinePunct w:val="0"/>
        <w:autoSpaceDE/>
        <w:autoSpaceDN/>
        <w:bidi w:val="0"/>
        <w:adjustRightInd/>
        <w:spacing w:line="480" w:lineRule="exact"/>
        <w:ind w:left="210" w:leftChars="75" w:right="640" w:firstLine="646" w:firstLineChars="147"/>
        <w:jc w:val="center"/>
        <w:textAlignment w:val="auto"/>
        <w:rPr>
          <w:rFonts w:hint="eastAsia" w:ascii="方正小标宋简体" w:hAnsi="方正小标宋简体" w:eastAsia="方正小标宋简体" w:cs="方正小标宋简体"/>
          <w:sz w:val="44"/>
          <w:szCs w:val="44"/>
        </w:rPr>
      </w:pPr>
    </w:p>
    <w:p w14:paraId="1BB1057A">
      <w:pPr>
        <w:keepNext w:val="0"/>
        <w:keepLines w:val="0"/>
        <w:pageBreakBefore w:val="0"/>
        <w:tabs>
          <w:tab w:val="left" w:pos="1515"/>
          <w:tab w:val="center" w:pos="4153"/>
        </w:tabs>
        <w:kinsoku/>
        <w:wordWrap/>
        <w:overflowPunct/>
        <w:topLinePunct w:val="0"/>
        <w:autoSpaceDE/>
        <w:autoSpaceDN/>
        <w:bidi w:val="0"/>
        <w:adjustRightInd/>
        <w:spacing w:line="480" w:lineRule="exact"/>
        <w:ind w:left="210" w:leftChars="75" w:right="640" w:firstLine="646" w:firstLineChars="147"/>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14:paraId="2DE433AC">
      <w:pPr>
        <w:keepNext w:val="0"/>
        <w:keepLines w:val="0"/>
        <w:pageBreakBefore w:val="0"/>
        <w:kinsoku/>
        <w:wordWrap/>
        <w:overflowPunct/>
        <w:topLinePunct w:val="0"/>
        <w:autoSpaceDE/>
        <w:autoSpaceDN/>
        <w:bidi w:val="0"/>
        <w:adjustRightInd/>
        <w:spacing w:line="480" w:lineRule="exact"/>
        <w:textAlignment w:val="auto"/>
        <w:rPr>
          <w:rFonts w:ascii="楷体" w:hAnsi="楷体" w:eastAsia="楷体"/>
          <w:spacing w:val="-20"/>
          <w:sz w:val="30"/>
          <w:szCs w:val="30"/>
        </w:rPr>
      </w:pPr>
      <w:r>
        <w:rPr>
          <w:rFonts w:hint="eastAsia" w:ascii="楷体" w:hAnsi="楷体" w:eastAsia="楷体"/>
          <w:spacing w:val="-20"/>
          <w:sz w:val="30"/>
          <w:szCs w:val="30"/>
        </w:rPr>
        <w:t>致：陕西省公共资源交易中心</w:t>
      </w:r>
    </w:p>
    <w:p w14:paraId="6321D2F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eastAsia="仿宋"/>
          <w:spacing w:val="-20"/>
          <w:sz w:val="26"/>
          <w:szCs w:val="26"/>
        </w:rPr>
        <w:t>作为生产（经营）企业（企业名称），我企业</w:t>
      </w:r>
      <w:r>
        <w:rPr>
          <w:rFonts w:hint="eastAsia" w:ascii="仿宋" w:hAnsi="仿宋" w:eastAsia="仿宋"/>
          <w:color w:val="auto"/>
          <w:spacing w:val="-20"/>
          <w:sz w:val="26"/>
          <w:szCs w:val="26"/>
        </w:rPr>
        <w:t>承诺：</w:t>
      </w:r>
    </w:p>
    <w:p w14:paraId="3E9C9E1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lang w:val="en-US" w:eastAsia="zh-CN"/>
        </w:rPr>
      </w:pPr>
      <w:r>
        <w:rPr>
          <w:rFonts w:hint="eastAsia" w:ascii="仿宋" w:hAnsi="仿宋" w:eastAsia="仿宋"/>
          <w:color w:val="auto"/>
          <w:spacing w:val="-20"/>
          <w:sz w:val="26"/>
          <w:szCs w:val="26"/>
          <w:lang w:val="en-US" w:eastAsia="zh-CN"/>
        </w:rPr>
        <w:t>1.我司</w:t>
      </w:r>
      <w:r>
        <w:rPr>
          <w:rFonts w:hint="eastAsia" w:ascii="仿宋" w:hAnsi="仿宋"/>
          <w:color w:val="auto"/>
          <w:spacing w:val="-20"/>
          <w:sz w:val="26"/>
          <w:szCs w:val="26"/>
          <w:lang w:val="en-US" w:eastAsia="zh-CN"/>
        </w:rPr>
        <w:t>依据医药价格和招采信用评价制度，截至申报期结束之日，</w:t>
      </w:r>
      <w:r>
        <w:rPr>
          <w:rFonts w:hint="eastAsia" w:ascii="仿宋" w:hAnsi="仿宋" w:eastAsia="仿宋"/>
          <w:color w:val="auto"/>
          <w:spacing w:val="-20"/>
          <w:sz w:val="26"/>
          <w:szCs w:val="26"/>
          <w:lang w:val="en-US" w:eastAsia="zh-CN"/>
        </w:rPr>
        <w:t>未被列入当前《全国医药价格和招采失信企业风险警示名单》，未被国家组织高值医用耗材联合采购办公室列入“违规名单”，未被国家或联盟地区依据医药价格和招采信用评价制度评定为“严重”或“特别严重”失信等级。</w:t>
      </w:r>
    </w:p>
    <w:p w14:paraId="6318761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lang w:eastAsia="zh-CN"/>
        </w:rPr>
      </w:pPr>
      <w:r>
        <w:rPr>
          <w:rFonts w:hint="eastAsia" w:ascii="仿宋" w:hAnsi="仿宋"/>
          <w:color w:val="auto"/>
          <w:spacing w:val="-20"/>
          <w:sz w:val="26"/>
          <w:szCs w:val="26"/>
          <w:lang w:val="en-US" w:eastAsia="zh-CN"/>
        </w:rPr>
        <w:t>2</w:t>
      </w:r>
      <w:r>
        <w:rPr>
          <w:rFonts w:hint="eastAsia" w:ascii="仿宋" w:hAnsi="仿宋" w:eastAsia="仿宋"/>
          <w:color w:val="auto"/>
          <w:spacing w:val="-20"/>
          <w:sz w:val="26"/>
          <w:szCs w:val="26"/>
          <w:lang w:val="en-US" w:eastAsia="zh-CN"/>
        </w:rPr>
        <w:t>.</w:t>
      </w:r>
      <w:r>
        <w:rPr>
          <w:rFonts w:hint="eastAsia" w:ascii="仿宋" w:hAnsi="仿宋" w:eastAsia="仿宋"/>
          <w:color w:val="auto"/>
          <w:spacing w:val="-20"/>
          <w:sz w:val="26"/>
          <w:szCs w:val="26"/>
        </w:rPr>
        <w:t>同一产品如遇国家级带量采购形成新的低价，国家带量采购价格生效以后，本次采购尚未执行的采购量，按国家带量采购价格执行</w:t>
      </w:r>
      <w:r>
        <w:rPr>
          <w:rFonts w:hint="eastAsia" w:ascii="仿宋" w:hAnsi="仿宋" w:eastAsia="仿宋"/>
          <w:color w:val="auto"/>
          <w:spacing w:val="-20"/>
          <w:sz w:val="26"/>
          <w:szCs w:val="26"/>
          <w:lang w:eastAsia="zh-CN"/>
        </w:rPr>
        <w:t>。</w:t>
      </w:r>
    </w:p>
    <w:p w14:paraId="3E73148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color w:val="auto"/>
          <w:spacing w:val="-20"/>
          <w:sz w:val="26"/>
          <w:szCs w:val="26"/>
        </w:rPr>
      </w:pPr>
      <w:r>
        <w:rPr>
          <w:rFonts w:hint="eastAsia" w:ascii="仿宋" w:hAnsi="仿宋"/>
          <w:color w:val="auto"/>
          <w:spacing w:val="-20"/>
          <w:sz w:val="26"/>
          <w:szCs w:val="26"/>
          <w:lang w:val="en-US" w:eastAsia="zh-CN"/>
        </w:rPr>
        <w:t>3.</w:t>
      </w:r>
      <w:r>
        <w:rPr>
          <w:rFonts w:hint="eastAsia" w:ascii="仿宋" w:hAnsi="仿宋" w:eastAsia="仿宋"/>
          <w:color w:val="auto"/>
          <w:spacing w:val="-20"/>
          <w:sz w:val="26"/>
          <w:szCs w:val="26"/>
        </w:rPr>
        <w:t>在国内今后其他省级带量采购工作中，如果同一产品形成的中选价，低于本次联盟采购的中选价，</w:t>
      </w:r>
      <w:r>
        <w:rPr>
          <w:rFonts w:hint="eastAsia" w:ascii="仿宋" w:hAnsi="仿宋"/>
          <w:color w:val="auto"/>
          <w:spacing w:val="-20"/>
          <w:sz w:val="26"/>
          <w:szCs w:val="26"/>
          <w:lang w:eastAsia="zh-CN"/>
        </w:rPr>
        <w:t>按要求</w:t>
      </w:r>
      <w:r>
        <w:rPr>
          <w:rFonts w:hint="eastAsia" w:ascii="仿宋" w:hAnsi="仿宋"/>
          <w:color w:val="auto"/>
          <w:spacing w:val="-20"/>
          <w:sz w:val="26"/>
          <w:szCs w:val="26"/>
          <w:lang w:val="en-US" w:eastAsia="zh-CN"/>
        </w:rPr>
        <w:t>30天内</w:t>
      </w:r>
      <w:r>
        <w:rPr>
          <w:rFonts w:hint="eastAsia" w:ascii="仿宋" w:hAnsi="仿宋" w:eastAsia="仿宋"/>
          <w:color w:val="auto"/>
          <w:spacing w:val="-20"/>
          <w:sz w:val="26"/>
          <w:szCs w:val="26"/>
        </w:rPr>
        <w:t>主动向联盟省区采购集采中心提交书面申请，</w:t>
      </w:r>
      <w:r>
        <w:rPr>
          <w:rFonts w:hint="eastAsia" w:ascii="仿宋" w:hAnsi="仿宋" w:eastAsia="仿宋"/>
          <w:color w:val="000000" w:themeColor="text1"/>
          <w:spacing w:val="-20"/>
          <w:sz w:val="26"/>
          <w:szCs w:val="26"/>
          <w14:textFill>
            <w14:solidFill>
              <w14:schemeClr w14:val="tx1"/>
            </w14:solidFill>
          </w14:textFill>
        </w:rPr>
        <w:t>本次采购尚未执行的</w:t>
      </w:r>
      <w:r>
        <w:rPr>
          <w:rFonts w:hint="eastAsia" w:ascii="仿宋" w:hAnsi="仿宋" w:eastAsia="仿宋"/>
          <w:color w:val="000000" w:themeColor="text1"/>
          <w:spacing w:val="-20"/>
          <w:sz w:val="26"/>
          <w:szCs w:val="26"/>
          <w:lang w:eastAsia="zh-CN"/>
          <w14:textFill>
            <w14:solidFill>
              <w14:schemeClr w14:val="tx1"/>
            </w14:solidFill>
          </w14:textFill>
        </w:rPr>
        <w:t>约定合同</w:t>
      </w:r>
      <w:r>
        <w:rPr>
          <w:rFonts w:hint="eastAsia" w:ascii="仿宋" w:hAnsi="仿宋" w:eastAsia="仿宋"/>
          <w:color w:val="000000" w:themeColor="text1"/>
          <w:spacing w:val="-20"/>
          <w:sz w:val="26"/>
          <w:szCs w:val="26"/>
          <w14:textFill>
            <w14:solidFill>
              <w14:schemeClr w14:val="tx1"/>
            </w14:solidFill>
          </w14:textFill>
        </w:rPr>
        <w:t>量，按新的低价执行。</w:t>
      </w:r>
    </w:p>
    <w:p w14:paraId="41912C2B">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color w:val="auto"/>
          <w:spacing w:val="-20"/>
          <w:sz w:val="26"/>
          <w:szCs w:val="26"/>
          <w:lang w:val="en-US" w:eastAsia="zh-CN"/>
        </w:rPr>
        <w:t>4.</w:t>
      </w:r>
      <w:r>
        <w:rPr>
          <w:rFonts w:hint="eastAsia" w:ascii="仿宋" w:hAnsi="仿宋" w:eastAsia="仿宋"/>
          <w:color w:val="auto"/>
          <w:spacing w:val="-20"/>
          <w:sz w:val="26"/>
          <w:szCs w:val="26"/>
          <w:lang w:eastAsia="zh-CN"/>
        </w:rPr>
        <w:t>自行配送或选定信誉良好的经营企业进行配送，建立应急储备，库存和停产报告等制度，</w:t>
      </w:r>
      <w:r>
        <w:rPr>
          <w:rFonts w:hint="eastAsia" w:ascii="仿宋" w:hAnsi="仿宋" w:eastAsia="仿宋"/>
          <w:color w:val="auto"/>
          <w:spacing w:val="-20"/>
          <w:sz w:val="26"/>
          <w:szCs w:val="26"/>
        </w:rPr>
        <w:t>在本次采购周期内能够连续生产中选产品，保证</w:t>
      </w:r>
      <w:r>
        <w:rPr>
          <w:rFonts w:hint="eastAsia" w:ascii="仿宋" w:hAnsi="仿宋" w:eastAsia="仿宋"/>
          <w:color w:val="auto"/>
          <w:spacing w:val="-20"/>
          <w:sz w:val="26"/>
          <w:szCs w:val="26"/>
          <w:lang w:eastAsia="zh-CN"/>
        </w:rPr>
        <w:t>联盟省区内</w:t>
      </w:r>
      <w:r>
        <w:rPr>
          <w:rFonts w:hint="eastAsia" w:ascii="仿宋" w:hAnsi="仿宋" w:eastAsia="仿宋"/>
          <w:color w:val="auto"/>
          <w:spacing w:val="-20"/>
          <w:sz w:val="26"/>
          <w:szCs w:val="26"/>
        </w:rPr>
        <w:t>货源充足。</w:t>
      </w:r>
    </w:p>
    <w:p w14:paraId="2F7993D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仿宋" w:hAnsi="仿宋" w:eastAsia="仿宋"/>
          <w:color w:val="auto"/>
          <w:spacing w:val="-20"/>
          <w:sz w:val="26"/>
          <w:szCs w:val="26"/>
          <w:lang w:val="en-US" w:eastAsia="zh-CN"/>
        </w:rPr>
      </w:pPr>
      <w:r>
        <w:rPr>
          <w:rFonts w:hint="eastAsia" w:ascii="仿宋" w:hAnsi="仿宋"/>
          <w:color w:val="auto"/>
          <w:spacing w:val="-20"/>
          <w:sz w:val="26"/>
          <w:szCs w:val="26"/>
          <w:lang w:val="en-US" w:eastAsia="zh-CN"/>
        </w:rPr>
        <w:t>5.</w:t>
      </w:r>
      <w:r>
        <w:rPr>
          <w:rFonts w:hint="eastAsia" w:ascii="仿宋" w:hAnsi="仿宋" w:eastAsia="仿宋"/>
          <w:color w:val="auto"/>
          <w:spacing w:val="-20"/>
          <w:sz w:val="26"/>
          <w:szCs w:val="26"/>
          <w:lang w:val="en-US" w:eastAsia="zh-CN"/>
        </w:rPr>
        <w:t>保持带量采购前后双腔起搏器产品伴随服务供给的延续性，维持服务内容及费用标准不变化，同意相关承诺可根据工作需要进行公开。</w:t>
      </w:r>
    </w:p>
    <w:p w14:paraId="229AACC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color w:val="auto"/>
          <w:spacing w:val="-20"/>
          <w:sz w:val="26"/>
          <w:szCs w:val="26"/>
        </w:rPr>
      </w:pPr>
      <w:r>
        <w:rPr>
          <w:rFonts w:hint="eastAsia" w:ascii="仿宋" w:hAnsi="仿宋"/>
          <w:color w:val="auto"/>
          <w:spacing w:val="-20"/>
          <w:sz w:val="26"/>
          <w:szCs w:val="26"/>
          <w:lang w:val="en-US" w:eastAsia="zh-CN"/>
        </w:rPr>
        <w:t>6.</w:t>
      </w:r>
      <w:r>
        <w:rPr>
          <w:rFonts w:hint="eastAsia" w:ascii="仿宋" w:hAnsi="仿宋" w:eastAsia="仿宋"/>
          <w:color w:val="auto"/>
          <w:spacing w:val="-20"/>
          <w:sz w:val="26"/>
          <w:szCs w:val="26"/>
          <w:lang w:eastAsia="zh-CN"/>
        </w:rPr>
        <w:t>建立对中选品种生产、流通、使用的全链条质量监管机制，</w:t>
      </w:r>
      <w:r>
        <w:rPr>
          <w:rFonts w:hint="eastAsia" w:ascii="仿宋" w:hAnsi="仿宋" w:eastAsia="仿宋"/>
          <w:color w:val="auto"/>
          <w:spacing w:val="-20"/>
          <w:sz w:val="26"/>
          <w:szCs w:val="26"/>
        </w:rPr>
        <w:t>按照产品采购目录所注明的产品信息供应合格产品，有效期符合有关规定，并保证产品质量。如在采购周期内发生产品信息变更，及时向联盟省区采购集采中心提交书面申请及相关材料。</w:t>
      </w:r>
    </w:p>
    <w:p w14:paraId="3EDDAD8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7.</w:t>
      </w:r>
      <w:r>
        <w:rPr>
          <w:rFonts w:hint="eastAsia" w:ascii="仿宋" w:hAnsi="仿宋" w:eastAsia="仿宋"/>
          <w:spacing w:val="-20"/>
          <w:sz w:val="26"/>
          <w:szCs w:val="26"/>
        </w:rPr>
        <w:t>不论医疗机构路程远近及采购数量和金额多少</w:t>
      </w:r>
      <w:r>
        <w:rPr>
          <w:rFonts w:hint="eastAsia" w:ascii="仿宋" w:hAnsi="仿宋"/>
          <w:spacing w:val="-20"/>
          <w:sz w:val="26"/>
          <w:szCs w:val="26"/>
          <w:lang w:eastAsia="zh-CN"/>
        </w:rPr>
        <w:t>，</w:t>
      </w:r>
      <w:r>
        <w:rPr>
          <w:rFonts w:hint="eastAsia" w:ascii="仿宋" w:hAnsi="仿宋" w:eastAsia="仿宋"/>
          <w:spacing w:val="-20"/>
          <w:sz w:val="26"/>
          <w:szCs w:val="26"/>
        </w:rPr>
        <w:t>均按购销合同保证及时供货并提供全面、完善的服务。</w:t>
      </w:r>
    </w:p>
    <w:p w14:paraId="5C3EBCB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8.</w:t>
      </w:r>
      <w:r>
        <w:rPr>
          <w:rFonts w:hint="eastAsia" w:ascii="仿宋" w:hAnsi="仿宋" w:eastAsia="仿宋"/>
          <w:spacing w:val="-20"/>
          <w:sz w:val="26"/>
          <w:szCs w:val="26"/>
        </w:rPr>
        <w:t>本承诺书有效期限：自签订购销合同开始至本次</w:t>
      </w:r>
      <w:r>
        <w:rPr>
          <w:rFonts w:hint="eastAsia" w:ascii="仿宋" w:hAnsi="仿宋" w:eastAsia="仿宋" w:cs="仿宋"/>
          <w:sz w:val="26"/>
          <w:szCs w:val="26"/>
          <w:lang w:eastAsia="zh-CN"/>
        </w:rPr>
        <w:t>心脏起搏器</w:t>
      </w:r>
      <w:r>
        <w:rPr>
          <w:rFonts w:hint="eastAsia" w:ascii="仿宋" w:hAnsi="仿宋" w:eastAsia="仿宋"/>
          <w:spacing w:val="-20"/>
          <w:sz w:val="26"/>
          <w:szCs w:val="26"/>
        </w:rPr>
        <w:t>带量采购周期届满。如果我方以及我方委托的配送企业出现违约行为，我方愿意承担相应的违约责任。</w:t>
      </w:r>
    </w:p>
    <w:p w14:paraId="73A40CF6">
      <w:pPr>
        <w:pStyle w:val="5"/>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仿宋" w:hAnsi="仿宋" w:eastAsia="仿宋"/>
          <w:spacing w:val="-20"/>
          <w:sz w:val="26"/>
          <w:szCs w:val="26"/>
        </w:rPr>
      </w:pPr>
      <w:r>
        <w:rPr>
          <w:rFonts w:hint="eastAsia" w:ascii="仿宋" w:hAnsi="仿宋" w:eastAsia="仿宋"/>
          <w:spacing w:val="-20"/>
          <w:sz w:val="26"/>
          <w:szCs w:val="26"/>
        </w:rPr>
        <w:t>特此承诺。</w:t>
      </w:r>
    </w:p>
    <w:p w14:paraId="4B2588A0">
      <w:pPr>
        <w:pStyle w:val="5"/>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仿宋" w:hAnsi="仿宋" w:eastAsia="仿宋"/>
          <w:spacing w:val="-20"/>
          <w:sz w:val="30"/>
          <w:szCs w:val="30"/>
        </w:rPr>
      </w:pPr>
    </w:p>
    <w:p w14:paraId="6057D5FF">
      <w:pPr>
        <w:keepNext w:val="0"/>
        <w:keepLines w:val="0"/>
        <w:pageBreakBefore w:val="0"/>
        <w:widowControl w:val="0"/>
        <w:kinsoku/>
        <w:wordWrap/>
        <w:overflowPunct/>
        <w:topLinePunct w:val="0"/>
        <w:autoSpaceDE/>
        <w:autoSpaceDN/>
        <w:bidi w:val="0"/>
        <w:adjustRightInd/>
        <w:snapToGrid/>
        <w:spacing w:line="480" w:lineRule="exact"/>
        <w:ind w:firstLine="4620" w:firstLineChars="2100"/>
        <w:textAlignment w:val="auto"/>
        <w:rPr>
          <w:rFonts w:hint="eastAsia" w:ascii="仿宋" w:hAnsi="仿宋" w:eastAsia="仿宋"/>
          <w:color w:val="auto"/>
          <w:spacing w:val="-20"/>
          <w:sz w:val="26"/>
          <w:szCs w:val="26"/>
        </w:rPr>
      </w:pPr>
      <w:r>
        <w:rPr>
          <w:rFonts w:hint="eastAsia" w:ascii="仿宋" w:hAnsi="仿宋" w:eastAsia="仿宋"/>
          <w:color w:val="auto"/>
          <w:spacing w:val="-20"/>
          <w:sz w:val="26"/>
          <w:szCs w:val="26"/>
        </w:rPr>
        <w:t>法定代表人签字：________________</w:t>
      </w:r>
    </w:p>
    <w:p w14:paraId="1F8307CC">
      <w:pPr>
        <w:keepNext w:val="0"/>
        <w:keepLines w:val="0"/>
        <w:pageBreakBefore w:val="0"/>
        <w:widowControl w:val="0"/>
        <w:kinsoku/>
        <w:wordWrap/>
        <w:overflowPunct/>
        <w:topLinePunct w:val="0"/>
        <w:autoSpaceDE/>
        <w:autoSpaceDN/>
        <w:bidi w:val="0"/>
        <w:adjustRightInd/>
        <w:snapToGrid/>
        <w:spacing w:line="480" w:lineRule="exact"/>
        <w:ind w:firstLine="3300" w:firstLineChars="1500"/>
        <w:textAlignment w:val="auto"/>
        <w:rPr>
          <w:rFonts w:hint="eastAsia" w:ascii="仿宋" w:hAnsi="仿宋" w:eastAsia="仿宋"/>
          <w:color w:val="auto"/>
          <w:spacing w:val="-20"/>
          <w:sz w:val="26"/>
          <w:szCs w:val="26"/>
        </w:rPr>
      </w:pPr>
      <w:r>
        <w:rPr>
          <w:rFonts w:hint="eastAsia" w:ascii="仿宋" w:hAnsi="仿宋" w:eastAsia="仿宋"/>
          <w:color w:val="auto"/>
          <w:spacing w:val="-20"/>
          <w:sz w:val="26"/>
          <w:szCs w:val="26"/>
        </w:rPr>
        <w:t>生产（经营）企业名称和盖章:__________________</w:t>
      </w:r>
    </w:p>
    <w:p w14:paraId="28D202EB">
      <w:pPr>
        <w:rPr>
          <w:rFonts w:hint="default"/>
          <w:lang w:val="en-US" w:eastAsia="zh-CN"/>
        </w:rPr>
      </w:pPr>
      <w:r>
        <w:rPr>
          <w:rFonts w:hint="default"/>
          <w:lang w:val="en-US" w:eastAsia="zh-CN"/>
        </w:rPr>
        <w:br w:type="page"/>
      </w:r>
    </w:p>
    <w:p w14:paraId="7E14CD1A">
      <w:pPr>
        <w:rPr>
          <w:rFonts w:hint="default"/>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10"/>
        <w:tblW w:w="16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1317"/>
        <w:gridCol w:w="1158"/>
        <w:gridCol w:w="999"/>
        <w:gridCol w:w="968"/>
        <w:gridCol w:w="805"/>
        <w:gridCol w:w="641"/>
        <w:gridCol w:w="655"/>
        <w:gridCol w:w="927"/>
        <w:gridCol w:w="872"/>
        <w:gridCol w:w="791"/>
        <w:gridCol w:w="764"/>
        <w:gridCol w:w="934"/>
        <w:gridCol w:w="1248"/>
        <w:gridCol w:w="1077"/>
        <w:gridCol w:w="1091"/>
        <w:gridCol w:w="723"/>
        <w:gridCol w:w="645"/>
      </w:tblGrid>
      <w:tr w14:paraId="2CA7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8" w:hRule="atLeast"/>
        </w:trPr>
        <w:tc>
          <w:tcPr>
            <w:tcW w:w="16160" w:type="dxa"/>
            <w:gridSpan w:val="18"/>
            <w:tcBorders>
              <w:top w:val="nil"/>
              <w:left w:val="nil"/>
              <w:bottom w:val="nil"/>
              <w:right w:val="nil"/>
            </w:tcBorders>
            <w:shd w:val="clear" w:color="auto" w:fill="auto"/>
            <w:noWrap/>
            <w:vAlign w:val="center"/>
          </w:tcPr>
          <w:p w14:paraId="2DB40914">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黑体" w:hAnsi="宋体" w:eastAsia="黑体" w:cs="黑体"/>
                <w:i w:val="0"/>
                <w:iCs w:val="0"/>
                <w:color w:val="000000"/>
                <w:kern w:val="0"/>
                <w:sz w:val="40"/>
                <w:szCs w:val="40"/>
                <w:u w:val="none"/>
                <w:lang w:val="en-US" w:eastAsia="zh-CN" w:bidi="ar"/>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4</w:t>
            </w:r>
          </w:p>
          <w:p w14:paraId="321E9E4B">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产品申报表</w:t>
            </w:r>
          </w:p>
        </w:tc>
      </w:tr>
      <w:tr w14:paraId="0B4D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1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E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分组</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5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27位医保编码</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8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4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申报企业名称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2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0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B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D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2021年以来是否中选</w:t>
            </w:r>
          </w:p>
        </w:tc>
        <w:tc>
          <w:tcPr>
            <w:tcW w:w="872" w:type="dxa"/>
            <w:tcBorders>
              <w:top w:val="single" w:color="000000" w:sz="4" w:space="0"/>
              <w:left w:val="single" w:color="000000" w:sz="4" w:space="0"/>
              <w:bottom w:val="single" w:color="000000" w:sz="4" w:space="0"/>
              <w:right w:val="single" w:color="000000" w:sz="4" w:space="0"/>
            </w:tcBorders>
            <w:shd w:val="clear" w:color="auto" w:fill="FFF3CA"/>
            <w:vAlign w:val="center"/>
          </w:tcPr>
          <w:p w14:paraId="52F1D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中选价格（元）</w:t>
            </w:r>
          </w:p>
        </w:tc>
        <w:tc>
          <w:tcPr>
            <w:tcW w:w="791" w:type="dxa"/>
            <w:tcBorders>
              <w:top w:val="single" w:color="000000" w:sz="4" w:space="0"/>
              <w:left w:val="single" w:color="000000" w:sz="4" w:space="0"/>
              <w:bottom w:val="single" w:color="000000" w:sz="4" w:space="0"/>
              <w:right w:val="single" w:color="auto" w:sz="4" w:space="0"/>
            </w:tcBorders>
            <w:shd w:val="clear" w:color="auto" w:fill="FFF3CA"/>
            <w:vAlign w:val="center"/>
          </w:tcPr>
          <w:p w14:paraId="6C5A6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中选价格价格来源</w:t>
            </w:r>
          </w:p>
        </w:tc>
        <w:tc>
          <w:tcPr>
            <w:tcW w:w="764" w:type="dxa"/>
            <w:tcBorders>
              <w:top w:val="single" w:color="000000" w:sz="4" w:space="0"/>
              <w:left w:val="single" w:color="auto" w:sz="4" w:space="0"/>
              <w:bottom w:val="single" w:color="000000" w:sz="4" w:space="0"/>
              <w:right w:val="single" w:color="000000" w:sz="4" w:space="0"/>
            </w:tcBorders>
            <w:shd w:val="clear" w:color="auto" w:fill="FFF3CA"/>
            <w:vAlign w:val="center"/>
          </w:tcPr>
          <w:p w14:paraId="19A9EC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中选年份</w:t>
            </w:r>
          </w:p>
        </w:tc>
        <w:tc>
          <w:tcPr>
            <w:tcW w:w="934"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24435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全国省级平台最低挂网价（元）</w:t>
            </w:r>
          </w:p>
        </w:tc>
        <w:tc>
          <w:tcPr>
            <w:tcW w:w="1248"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33B24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全国省级平台最低挂网价价格来源</w:t>
            </w:r>
          </w:p>
        </w:tc>
        <w:tc>
          <w:tcPr>
            <w:tcW w:w="1077"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0B8F2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联盟区域内省级平台最低交易价（元）</w:t>
            </w:r>
          </w:p>
        </w:tc>
        <w:tc>
          <w:tcPr>
            <w:tcW w:w="1091"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28D9A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联盟区域内省级平台最低交易价价格来源</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1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是否全量供应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D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D5E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E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2AC87">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Style w:val="17"/>
                <w:sz w:val="21"/>
                <w:szCs w:val="21"/>
                <w:lang w:val="en-US" w:eastAsia="zh-CN" w:bidi="ar"/>
              </w:rPr>
              <w:t>全身兼容</w:t>
            </w:r>
            <w:r>
              <w:rPr>
                <w:rStyle w:val="18"/>
                <w:rFonts w:eastAsia="仿宋"/>
                <w:sz w:val="21"/>
                <w:szCs w:val="21"/>
                <w:lang w:val="en-US" w:eastAsia="zh-CN" w:bidi="ar"/>
              </w:rPr>
              <w:t>MRI</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BEC8">
            <w:pPr>
              <w:jc w:val="center"/>
              <w:rPr>
                <w:rFonts w:hint="eastAsia" w:ascii="宋体" w:hAnsi="宋体" w:eastAsia="宋体" w:cs="宋体"/>
                <w:i w:val="0"/>
                <w:iCs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8E95">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0CA1">
            <w:pPr>
              <w:jc w:val="center"/>
              <w:rPr>
                <w:rFonts w:hint="eastAsia" w:ascii="宋体" w:hAnsi="宋体" w:eastAsia="宋体" w:cs="宋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E5E">
            <w:pPr>
              <w:jc w:val="cente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D20B">
            <w:pPr>
              <w:jc w:val="center"/>
              <w:rPr>
                <w:rFonts w:hint="eastAsia" w:ascii="宋体" w:hAnsi="宋体" w:eastAsia="宋体" w:cs="宋体"/>
                <w:i w:val="0"/>
                <w:iCs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F02A">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D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872"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0AE2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1" w:type="dxa"/>
            <w:tcBorders>
              <w:top w:val="single" w:color="000000" w:sz="4" w:space="0"/>
              <w:left w:val="single" w:color="000000" w:sz="4" w:space="0"/>
              <w:bottom w:val="single" w:color="000000" w:sz="4" w:space="0"/>
              <w:right w:val="single" w:color="auto" w:sz="4" w:space="0"/>
            </w:tcBorders>
            <w:shd w:val="clear" w:color="auto" w:fill="FFF3CA"/>
            <w:noWrap/>
            <w:vAlign w:val="center"/>
          </w:tcPr>
          <w:p w14:paraId="621D0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XX省</w:t>
            </w:r>
          </w:p>
        </w:tc>
        <w:tc>
          <w:tcPr>
            <w:tcW w:w="764" w:type="dxa"/>
            <w:tcBorders>
              <w:top w:val="single" w:color="000000" w:sz="4" w:space="0"/>
              <w:left w:val="single" w:color="auto" w:sz="4" w:space="0"/>
              <w:bottom w:val="single" w:color="000000" w:sz="4" w:space="0"/>
              <w:right w:val="single" w:color="000000" w:sz="4" w:space="0"/>
            </w:tcBorders>
            <w:shd w:val="clear" w:color="auto" w:fill="FFF3CA"/>
            <w:noWrap/>
            <w:vAlign w:val="center"/>
          </w:tcPr>
          <w:p w14:paraId="005554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52D0FB7">
            <w:pPr>
              <w:jc w:val="center"/>
              <w:rPr>
                <w:rFonts w:hint="eastAsia" w:ascii="宋体" w:hAnsi="宋体" w:eastAsia="宋体" w:cs="宋体"/>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29BB426B">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1127931">
            <w:pPr>
              <w:jc w:val="center"/>
              <w:rPr>
                <w:rFonts w:hint="eastAsia" w:ascii="宋体" w:hAnsi="宋体" w:eastAsia="宋体" w:cs="宋体"/>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2F67D227">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6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6B2E">
            <w:pPr>
              <w:jc w:val="center"/>
              <w:rPr>
                <w:rFonts w:hint="eastAsia" w:ascii="宋体" w:hAnsi="宋体" w:eastAsia="宋体" w:cs="宋体"/>
                <w:i w:val="0"/>
                <w:iCs w:val="0"/>
                <w:color w:val="000000"/>
                <w:sz w:val="21"/>
                <w:szCs w:val="21"/>
                <w:u w:val="none"/>
              </w:rPr>
            </w:pPr>
          </w:p>
        </w:tc>
      </w:tr>
      <w:tr w14:paraId="356B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AEA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7"/>
                <w:sz w:val="21"/>
                <w:szCs w:val="21"/>
                <w:lang w:val="en-US" w:eastAsia="zh-CN" w:bidi="ar"/>
              </w:rPr>
              <w:t>非全身兼容</w:t>
            </w:r>
            <w:r>
              <w:rPr>
                <w:rStyle w:val="18"/>
                <w:rFonts w:eastAsia="仿宋"/>
                <w:sz w:val="21"/>
                <w:szCs w:val="21"/>
                <w:lang w:val="en-US" w:eastAsia="zh-CN" w:bidi="ar"/>
              </w:rPr>
              <w:t>MRI</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C401">
            <w:pPr>
              <w:jc w:val="center"/>
              <w:rPr>
                <w:rFonts w:hint="eastAsia" w:ascii="宋体" w:hAnsi="宋体" w:eastAsia="宋体" w:cs="宋体"/>
                <w:i w:val="0"/>
                <w:iCs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0EFB">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C162">
            <w:pPr>
              <w:jc w:val="center"/>
              <w:rPr>
                <w:rFonts w:hint="eastAsia" w:ascii="宋体" w:hAnsi="宋体" w:eastAsia="宋体" w:cs="宋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ACA0">
            <w:pPr>
              <w:jc w:val="cente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5814">
            <w:pPr>
              <w:jc w:val="center"/>
              <w:rPr>
                <w:rFonts w:hint="eastAsia" w:ascii="宋体" w:hAnsi="宋体" w:eastAsia="宋体" w:cs="宋体"/>
                <w:i w:val="0"/>
                <w:iCs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4CD4">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E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872"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740C12B0">
            <w:pPr>
              <w:jc w:val="center"/>
              <w:rPr>
                <w:rFonts w:hint="eastAsia" w:ascii="宋体" w:hAnsi="宋体" w:eastAsia="宋体" w:cs="宋体"/>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auto" w:sz="4" w:space="0"/>
            </w:tcBorders>
            <w:shd w:val="clear" w:color="auto" w:fill="FFF3CA"/>
            <w:noWrap/>
            <w:vAlign w:val="center"/>
          </w:tcPr>
          <w:p w14:paraId="5D135D03">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auto" w:sz="4" w:space="0"/>
              <w:bottom w:val="single" w:color="000000" w:sz="4" w:space="0"/>
              <w:right w:val="single" w:color="000000" w:sz="4" w:space="0"/>
            </w:tcBorders>
            <w:shd w:val="clear" w:color="auto" w:fill="FFF3CA"/>
            <w:noWrap/>
            <w:vAlign w:val="center"/>
          </w:tcPr>
          <w:p w14:paraId="3E230CD4">
            <w:pPr>
              <w:jc w:val="center"/>
              <w:rPr>
                <w:rFonts w:hint="eastAsia" w:ascii="宋体" w:hAnsi="宋体" w:eastAsia="宋体" w:cs="宋体"/>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411B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2DC78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XX省</w:t>
            </w:r>
          </w:p>
        </w:tc>
        <w:tc>
          <w:tcPr>
            <w:tcW w:w="1077"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9C92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CBD0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XX医院</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A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7F4F">
            <w:pPr>
              <w:jc w:val="center"/>
              <w:rPr>
                <w:rFonts w:hint="eastAsia" w:ascii="宋体" w:hAnsi="宋体" w:eastAsia="宋体" w:cs="宋体"/>
                <w:i w:val="0"/>
                <w:iCs w:val="0"/>
                <w:color w:val="000000"/>
                <w:sz w:val="21"/>
                <w:szCs w:val="21"/>
                <w:u w:val="none"/>
              </w:rPr>
            </w:pPr>
          </w:p>
        </w:tc>
      </w:tr>
      <w:tr w14:paraId="4414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2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6A3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7"/>
                <w:sz w:val="21"/>
                <w:szCs w:val="21"/>
                <w:lang w:val="en-US" w:eastAsia="zh-CN" w:bidi="ar"/>
              </w:rPr>
              <w:t>非兼容</w:t>
            </w:r>
            <w:r>
              <w:rPr>
                <w:rStyle w:val="18"/>
                <w:rFonts w:eastAsia="仿宋"/>
                <w:sz w:val="21"/>
                <w:szCs w:val="21"/>
                <w:lang w:val="en-US" w:eastAsia="zh-CN" w:bidi="ar"/>
              </w:rPr>
              <w:t>MRI</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9072">
            <w:pPr>
              <w:jc w:val="center"/>
              <w:rPr>
                <w:rFonts w:hint="eastAsia" w:ascii="宋体" w:hAnsi="宋体" w:eastAsia="宋体" w:cs="宋体"/>
                <w:i w:val="0"/>
                <w:iCs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2A22">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450A">
            <w:pPr>
              <w:jc w:val="center"/>
              <w:rPr>
                <w:rFonts w:hint="eastAsia" w:ascii="宋体" w:hAnsi="宋体" w:eastAsia="宋体" w:cs="宋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D11B">
            <w:pPr>
              <w:jc w:val="cente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1DA">
            <w:pPr>
              <w:jc w:val="center"/>
              <w:rPr>
                <w:rFonts w:hint="eastAsia" w:ascii="宋体" w:hAnsi="宋体" w:eastAsia="宋体" w:cs="宋体"/>
                <w:i w:val="0"/>
                <w:iCs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108">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4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872"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0FFE4999">
            <w:pPr>
              <w:jc w:val="center"/>
              <w:rPr>
                <w:rFonts w:hint="eastAsia" w:ascii="宋体" w:hAnsi="宋体" w:eastAsia="宋体" w:cs="宋体"/>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auto" w:sz="4" w:space="0"/>
            </w:tcBorders>
            <w:shd w:val="clear" w:color="auto" w:fill="FFF3CA"/>
            <w:noWrap/>
            <w:vAlign w:val="center"/>
          </w:tcPr>
          <w:p w14:paraId="361A2E9E">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auto" w:sz="4" w:space="0"/>
              <w:bottom w:val="single" w:color="000000" w:sz="4" w:space="0"/>
              <w:right w:val="single" w:color="000000" w:sz="4" w:space="0"/>
            </w:tcBorders>
            <w:shd w:val="clear" w:color="auto" w:fill="FFF3CA"/>
            <w:noWrap/>
            <w:vAlign w:val="center"/>
          </w:tcPr>
          <w:p w14:paraId="0535C577">
            <w:pPr>
              <w:jc w:val="center"/>
              <w:rPr>
                <w:rFonts w:hint="eastAsia" w:ascii="宋体" w:hAnsi="宋体" w:eastAsia="宋体" w:cs="宋体"/>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8855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805F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XX省</w:t>
            </w:r>
          </w:p>
        </w:tc>
        <w:tc>
          <w:tcPr>
            <w:tcW w:w="1077"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0175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091"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20B8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XX医院</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2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B73B">
            <w:pPr>
              <w:jc w:val="center"/>
              <w:rPr>
                <w:rFonts w:hint="eastAsia" w:ascii="宋体" w:hAnsi="宋体" w:eastAsia="宋体" w:cs="宋体"/>
                <w:i w:val="0"/>
                <w:iCs w:val="0"/>
                <w:color w:val="000000"/>
                <w:sz w:val="21"/>
                <w:szCs w:val="21"/>
                <w:u w:val="none"/>
              </w:rPr>
            </w:pPr>
          </w:p>
        </w:tc>
      </w:tr>
      <w:tr w14:paraId="252B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5" w:type="dxa"/>
            <w:tcBorders>
              <w:top w:val="nil"/>
              <w:left w:val="nil"/>
              <w:bottom w:val="nil"/>
              <w:right w:val="nil"/>
            </w:tcBorders>
            <w:shd w:val="clear" w:color="auto" w:fill="auto"/>
            <w:noWrap/>
            <w:vAlign w:val="center"/>
          </w:tcPr>
          <w:p w14:paraId="5E68FD5C">
            <w:pPr>
              <w:rPr>
                <w:rFonts w:hint="eastAsia" w:ascii="宋体" w:hAnsi="宋体" w:eastAsia="宋体" w:cs="宋体"/>
                <w:i w:val="0"/>
                <w:iCs w:val="0"/>
                <w:color w:val="000000"/>
                <w:sz w:val="21"/>
                <w:szCs w:val="21"/>
                <w:u w:val="none"/>
              </w:rPr>
            </w:pPr>
          </w:p>
        </w:tc>
        <w:tc>
          <w:tcPr>
            <w:tcW w:w="1317" w:type="dxa"/>
            <w:tcBorders>
              <w:top w:val="nil"/>
              <w:left w:val="nil"/>
              <w:bottom w:val="nil"/>
              <w:right w:val="nil"/>
            </w:tcBorders>
            <w:shd w:val="clear" w:color="auto" w:fill="auto"/>
            <w:noWrap/>
            <w:vAlign w:val="center"/>
          </w:tcPr>
          <w:p w14:paraId="27235CA6">
            <w:pPr>
              <w:rPr>
                <w:rFonts w:hint="eastAsia" w:ascii="宋体" w:hAnsi="宋体" w:eastAsia="宋体" w:cs="宋体"/>
                <w:i w:val="0"/>
                <w:iCs w:val="0"/>
                <w:color w:val="000000"/>
                <w:sz w:val="21"/>
                <w:szCs w:val="21"/>
                <w:u w:val="none"/>
              </w:rPr>
            </w:pPr>
          </w:p>
        </w:tc>
        <w:tc>
          <w:tcPr>
            <w:tcW w:w="1158" w:type="dxa"/>
            <w:tcBorders>
              <w:top w:val="nil"/>
              <w:left w:val="nil"/>
              <w:bottom w:val="nil"/>
              <w:right w:val="nil"/>
            </w:tcBorders>
            <w:shd w:val="clear" w:color="auto" w:fill="auto"/>
            <w:noWrap/>
            <w:vAlign w:val="center"/>
          </w:tcPr>
          <w:p w14:paraId="4D58FACD">
            <w:pPr>
              <w:rPr>
                <w:rFonts w:hint="eastAsia" w:ascii="宋体" w:hAnsi="宋体" w:eastAsia="宋体" w:cs="宋体"/>
                <w:i w:val="0"/>
                <w:iCs w:val="0"/>
                <w:color w:val="000000"/>
                <w:sz w:val="21"/>
                <w:szCs w:val="21"/>
                <w:u w:val="none"/>
              </w:rPr>
            </w:pPr>
          </w:p>
        </w:tc>
        <w:tc>
          <w:tcPr>
            <w:tcW w:w="999" w:type="dxa"/>
            <w:tcBorders>
              <w:top w:val="nil"/>
              <w:left w:val="nil"/>
              <w:bottom w:val="nil"/>
              <w:right w:val="nil"/>
            </w:tcBorders>
            <w:shd w:val="clear" w:color="auto" w:fill="auto"/>
            <w:noWrap/>
            <w:vAlign w:val="center"/>
          </w:tcPr>
          <w:p w14:paraId="395C5DD5">
            <w:pPr>
              <w:rPr>
                <w:rFonts w:hint="eastAsia" w:ascii="宋体" w:hAnsi="宋体" w:eastAsia="宋体" w:cs="宋体"/>
                <w:i w:val="0"/>
                <w:iCs w:val="0"/>
                <w:color w:val="000000"/>
                <w:sz w:val="21"/>
                <w:szCs w:val="21"/>
                <w:u w:val="none"/>
              </w:rPr>
            </w:pPr>
          </w:p>
        </w:tc>
        <w:tc>
          <w:tcPr>
            <w:tcW w:w="968" w:type="dxa"/>
            <w:tcBorders>
              <w:top w:val="nil"/>
              <w:left w:val="nil"/>
              <w:bottom w:val="nil"/>
              <w:right w:val="nil"/>
            </w:tcBorders>
            <w:shd w:val="clear" w:color="auto" w:fill="auto"/>
            <w:noWrap/>
            <w:vAlign w:val="center"/>
          </w:tcPr>
          <w:p w14:paraId="0352E281">
            <w:pPr>
              <w:rPr>
                <w:rFonts w:hint="eastAsia" w:ascii="宋体" w:hAnsi="宋体" w:eastAsia="宋体" w:cs="宋体"/>
                <w:i w:val="0"/>
                <w:iCs w:val="0"/>
                <w:color w:val="000000"/>
                <w:sz w:val="21"/>
                <w:szCs w:val="21"/>
                <w:u w:val="none"/>
              </w:rPr>
            </w:pPr>
          </w:p>
        </w:tc>
        <w:tc>
          <w:tcPr>
            <w:tcW w:w="805" w:type="dxa"/>
            <w:tcBorders>
              <w:top w:val="nil"/>
              <w:left w:val="nil"/>
              <w:bottom w:val="nil"/>
              <w:right w:val="nil"/>
            </w:tcBorders>
            <w:shd w:val="clear" w:color="auto" w:fill="auto"/>
            <w:noWrap/>
            <w:vAlign w:val="center"/>
          </w:tcPr>
          <w:p w14:paraId="4C2AD8E8">
            <w:pPr>
              <w:rPr>
                <w:rFonts w:hint="eastAsia" w:ascii="宋体" w:hAnsi="宋体" w:eastAsia="宋体" w:cs="宋体"/>
                <w:i w:val="0"/>
                <w:iCs w:val="0"/>
                <w:color w:val="000000"/>
                <w:sz w:val="21"/>
                <w:szCs w:val="21"/>
                <w:u w:val="none"/>
              </w:rPr>
            </w:pPr>
          </w:p>
        </w:tc>
        <w:tc>
          <w:tcPr>
            <w:tcW w:w="641" w:type="dxa"/>
            <w:tcBorders>
              <w:top w:val="nil"/>
              <w:left w:val="nil"/>
              <w:bottom w:val="nil"/>
              <w:right w:val="nil"/>
            </w:tcBorders>
            <w:shd w:val="clear" w:color="auto" w:fill="auto"/>
            <w:noWrap/>
            <w:vAlign w:val="center"/>
          </w:tcPr>
          <w:p w14:paraId="3A8CB48F">
            <w:pPr>
              <w:rPr>
                <w:rFonts w:hint="eastAsia" w:ascii="宋体" w:hAnsi="宋体" w:eastAsia="宋体" w:cs="宋体"/>
                <w:i w:val="0"/>
                <w:iCs w:val="0"/>
                <w:color w:val="000000"/>
                <w:sz w:val="21"/>
                <w:szCs w:val="21"/>
                <w:u w:val="none"/>
              </w:rPr>
            </w:pPr>
          </w:p>
        </w:tc>
        <w:tc>
          <w:tcPr>
            <w:tcW w:w="655" w:type="dxa"/>
            <w:tcBorders>
              <w:top w:val="nil"/>
              <w:left w:val="nil"/>
              <w:bottom w:val="nil"/>
              <w:right w:val="nil"/>
            </w:tcBorders>
            <w:shd w:val="clear" w:color="auto" w:fill="auto"/>
            <w:noWrap/>
            <w:vAlign w:val="center"/>
          </w:tcPr>
          <w:p w14:paraId="112B86C2">
            <w:pPr>
              <w:rPr>
                <w:rFonts w:hint="eastAsia" w:ascii="宋体" w:hAnsi="宋体" w:eastAsia="宋体" w:cs="宋体"/>
                <w:i w:val="0"/>
                <w:iCs w:val="0"/>
                <w:color w:val="000000"/>
                <w:sz w:val="21"/>
                <w:szCs w:val="21"/>
                <w:u w:val="none"/>
              </w:rPr>
            </w:pPr>
          </w:p>
        </w:tc>
        <w:tc>
          <w:tcPr>
            <w:tcW w:w="927" w:type="dxa"/>
            <w:tcBorders>
              <w:top w:val="nil"/>
              <w:left w:val="nil"/>
              <w:bottom w:val="nil"/>
              <w:right w:val="nil"/>
            </w:tcBorders>
            <w:shd w:val="clear" w:color="auto" w:fill="auto"/>
            <w:noWrap/>
            <w:vAlign w:val="center"/>
          </w:tcPr>
          <w:p w14:paraId="7C9B77D8">
            <w:pPr>
              <w:rPr>
                <w:rFonts w:hint="eastAsia" w:ascii="宋体" w:hAnsi="宋体" w:eastAsia="宋体" w:cs="宋体"/>
                <w:i w:val="0"/>
                <w:iCs w:val="0"/>
                <w:color w:val="000000"/>
                <w:sz w:val="21"/>
                <w:szCs w:val="21"/>
                <w:u w:val="none"/>
              </w:rPr>
            </w:pPr>
          </w:p>
        </w:tc>
        <w:tc>
          <w:tcPr>
            <w:tcW w:w="872" w:type="dxa"/>
            <w:tcBorders>
              <w:top w:val="nil"/>
              <w:left w:val="nil"/>
              <w:bottom w:val="nil"/>
              <w:right w:val="nil"/>
            </w:tcBorders>
            <w:shd w:val="clear" w:color="auto" w:fill="auto"/>
            <w:noWrap/>
            <w:vAlign w:val="center"/>
          </w:tcPr>
          <w:p w14:paraId="79EC8314">
            <w:pPr>
              <w:rPr>
                <w:rFonts w:hint="eastAsia" w:ascii="宋体" w:hAnsi="宋体" w:eastAsia="宋体" w:cs="宋体"/>
                <w:i w:val="0"/>
                <w:iCs w:val="0"/>
                <w:color w:val="000000"/>
                <w:sz w:val="21"/>
                <w:szCs w:val="21"/>
                <w:u w:val="none"/>
              </w:rPr>
            </w:pPr>
          </w:p>
        </w:tc>
        <w:tc>
          <w:tcPr>
            <w:tcW w:w="1555" w:type="dxa"/>
            <w:gridSpan w:val="2"/>
            <w:tcBorders>
              <w:top w:val="nil"/>
              <w:left w:val="nil"/>
              <w:bottom w:val="nil"/>
              <w:right w:val="nil"/>
            </w:tcBorders>
            <w:shd w:val="clear" w:color="auto" w:fill="auto"/>
            <w:noWrap/>
            <w:vAlign w:val="center"/>
          </w:tcPr>
          <w:p w14:paraId="5C1A9983">
            <w:pPr>
              <w:rPr>
                <w:rFonts w:hint="eastAsia" w:ascii="宋体" w:hAnsi="宋体" w:eastAsia="宋体" w:cs="宋体"/>
                <w:i w:val="0"/>
                <w:iCs w:val="0"/>
                <w:color w:val="000000"/>
                <w:sz w:val="21"/>
                <w:szCs w:val="21"/>
                <w:u w:val="none"/>
              </w:rPr>
            </w:pPr>
          </w:p>
        </w:tc>
        <w:tc>
          <w:tcPr>
            <w:tcW w:w="934" w:type="dxa"/>
            <w:tcBorders>
              <w:top w:val="nil"/>
              <w:left w:val="nil"/>
              <w:bottom w:val="nil"/>
              <w:right w:val="nil"/>
            </w:tcBorders>
            <w:shd w:val="clear" w:color="auto" w:fill="auto"/>
            <w:noWrap/>
            <w:vAlign w:val="center"/>
          </w:tcPr>
          <w:p w14:paraId="7DB5A68F">
            <w:pPr>
              <w:rPr>
                <w:rFonts w:hint="eastAsia" w:ascii="宋体" w:hAnsi="宋体" w:eastAsia="宋体" w:cs="宋体"/>
                <w:i w:val="0"/>
                <w:iCs w:val="0"/>
                <w:color w:val="000000"/>
                <w:sz w:val="21"/>
                <w:szCs w:val="21"/>
                <w:u w:val="none"/>
              </w:rPr>
            </w:pPr>
          </w:p>
        </w:tc>
        <w:tc>
          <w:tcPr>
            <w:tcW w:w="1248" w:type="dxa"/>
            <w:tcBorders>
              <w:top w:val="nil"/>
              <w:left w:val="nil"/>
              <w:bottom w:val="nil"/>
              <w:right w:val="nil"/>
            </w:tcBorders>
            <w:shd w:val="clear" w:color="auto" w:fill="auto"/>
            <w:noWrap/>
            <w:vAlign w:val="center"/>
          </w:tcPr>
          <w:p w14:paraId="137B90AB">
            <w:pPr>
              <w:rPr>
                <w:rFonts w:hint="eastAsia" w:ascii="宋体" w:hAnsi="宋体" w:eastAsia="宋体" w:cs="宋体"/>
                <w:i w:val="0"/>
                <w:iCs w:val="0"/>
                <w:color w:val="000000"/>
                <w:sz w:val="21"/>
                <w:szCs w:val="21"/>
                <w:u w:val="none"/>
              </w:rPr>
            </w:pPr>
          </w:p>
        </w:tc>
        <w:tc>
          <w:tcPr>
            <w:tcW w:w="1077" w:type="dxa"/>
            <w:tcBorders>
              <w:top w:val="nil"/>
              <w:left w:val="nil"/>
              <w:bottom w:val="nil"/>
              <w:right w:val="nil"/>
            </w:tcBorders>
            <w:shd w:val="clear" w:color="auto" w:fill="auto"/>
            <w:noWrap/>
            <w:vAlign w:val="center"/>
          </w:tcPr>
          <w:p w14:paraId="34659E03">
            <w:pPr>
              <w:rPr>
                <w:rFonts w:hint="eastAsia" w:ascii="宋体" w:hAnsi="宋体" w:eastAsia="宋体" w:cs="宋体"/>
                <w:i w:val="0"/>
                <w:iCs w:val="0"/>
                <w:color w:val="000000"/>
                <w:sz w:val="21"/>
                <w:szCs w:val="21"/>
                <w:u w:val="none"/>
              </w:rPr>
            </w:pPr>
          </w:p>
        </w:tc>
        <w:tc>
          <w:tcPr>
            <w:tcW w:w="1091" w:type="dxa"/>
            <w:tcBorders>
              <w:top w:val="nil"/>
              <w:left w:val="nil"/>
              <w:bottom w:val="nil"/>
              <w:right w:val="nil"/>
            </w:tcBorders>
            <w:shd w:val="clear" w:color="auto" w:fill="auto"/>
            <w:noWrap/>
            <w:vAlign w:val="center"/>
          </w:tcPr>
          <w:p w14:paraId="012167FF">
            <w:pPr>
              <w:rPr>
                <w:rFonts w:hint="eastAsia" w:ascii="宋体" w:hAnsi="宋体" w:eastAsia="宋体" w:cs="宋体"/>
                <w:i w:val="0"/>
                <w:iCs w:val="0"/>
                <w:color w:val="000000"/>
                <w:sz w:val="21"/>
                <w:szCs w:val="21"/>
                <w:u w:val="none"/>
              </w:rPr>
            </w:pPr>
          </w:p>
        </w:tc>
        <w:tc>
          <w:tcPr>
            <w:tcW w:w="723" w:type="dxa"/>
            <w:tcBorders>
              <w:top w:val="nil"/>
              <w:left w:val="nil"/>
              <w:bottom w:val="nil"/>
              <w:right w:val="nil"/>
            </w:tcBorders>
            <w:shd w:val="clear" w:color="auto" w:fill="auto"/>
            <w:noWrap/>
            <w:vAlign w:val="center"/>
          </w:tcPr>
          <w:p w14:paraId="6E198035">
            <w:pPr>
              <w:rPr>
                <w:rFonts w:hint="eastAsia" w:ascii="宋体" w:hAnsi="宋体" w:eastAsia="宋体" w:cs="宋体"/>
                <w:i w:val="0"/>
                <w:iCs w:val="0"/>
                <w:color w:val="000000"/>
                <w:sz w:val="21"/>
                <w:szCs w:val="21"/>
                <w:u w:val="none"/>
              </w:rPr>
            </w:pPr>
          </w:p>
        </w:tc>
        <w:tc>
          <w:tcPr>
            <w:tcW w:w="645" w:type="dxa"/>
            <w:tcBorders>
              <w:top w:val="nil"/>
              <w:left w:val="nil"/>
              <w:bottom w:val="nil"/>
              <w:right w:val="nil"/>
            </w:tcBorders>
            <w:shd w:val="clear" w:color="auto" w:fill="auto"/>
            <w:noWrap/>
            <w:vAlign w:val="center"/>
          </w:tcPr>
          <w:p w14:paraId="7AEEC204">
            <w:pPr>
              <w:rPr>
                <w:rFonts w:hint="eastAsia" w:ascii="宋体" w:hAnsi="宋体" w:eastAsia="宋体" w:cs="宋体"/>
                <w:i w:val="0"/>
                <w:iCs w:val="0"/>
                <w:color w:val="000000"/>
                <w:sz w:val="21"/>
                <w:szCs w:val="21"/>
                <w:u w:val="none"/>
              </w:rPr>
            </w:pPr>
          </w:p>
        </w:tc>
      </w:tr>
      <w:tr w14:paraId="098D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6160" w:type="dxa"/>
            <w:gridSpan w:val="18"/>
            <w:tcBorders>
              <w:top w:val="nil"/>
              <w:left w:val="nil"/>
              <w:bottom w:val="nil"/>
              <w:right w:val="nil"/>
            </w:tcBorders>
            <w:shd w:val="clear" w:color="auto" w:fill="auto"/>
            <w:vAlign w:val="center"/>
          </w:tcPr>
          <w:p w14:paraId="540BBF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sz w:val="21"/>
                <w:szCs w:val="21"/>
                <w:lang w:val="en-US" w:eastAsia="zh-CN" w:bidi="ar"/>
              </w:rPr>
              <w:t>备注：</w:t>
            </w:r>
            <w:r>
              <w:rPr>
                <w:rStyle w:val="20"/>
                <w:sz w:val="21"/>
                <w:szCs w:val="21"/>
                <w:lang w:val="en-US" w:eastAsia="zh-CN" w:bidi="ar"/>
              </w:rPr>
              <w:t>1.</w:t>
            </w:r>
            <w:r>
              <w:rPr>
                <w:rStyle w:val="21"/>
                <w:sz w:val="21"/>
                <w:szCs w:val="21"/>
                <w:lang w:val="en-US" w:eastAsia="zh-CN" w:bidi="ar"/>
              </w:rPr>
              <w:t>分组</w:t>
            </w:r>
            <w:r>
              <w:rPr>
                <w:rStyle w:val="20"/>
                <w:sz w:val="21"/>
                <w:szCs w:val="21"/>
                <w:lang w:val="en-US" w:eastAsia="zh-CN" w:bidi="ar"/>
              </w:rPr>
              <w:t>：</w:t>
            </w:r>
            <w:r>
              <w:rPr>
                <w:rStyle w:val="19"/>
                <w:sz w:val="21"/>
                <w:szCs w:val="21"/>
                <w:lang w:val="en-US" w:eastAsia="zh-CN" w:bidi="ar"/>
              </w:rPr>
              <w:t>企业按实际产品情况选择分组，分组为全身兼容MRI、非全身兼容MRI、非兼容MRI。2.</w:t>
            </w:r>
            <w:r>
              <w:rPr>
                <w:rStyle w:val="21"/>
                <w:sz w:val="21"/>
                <w:szCs w:val="21"/>
                <w:lang w:val="en-US" w:eastAsia="zh-CN" w:bidi="ar"/>
              </w:rPr>
              <w:t>2021年以来是否中选</w:t>
            </w:r>
            <w:r>
              <w:rPr>
                <w:rStyle w:val="20"/>
                <w:sz w:val="21"/>
                <w:szCs w:val="21"/>
                <w:lang w:val="en-US" w:eastAsia="zh-CN" w:bidi="ar"/>
              </w:rPr>
              <w:t>：填是、否。中选产品填写“中选价格”和中价格来源，非中选产品填写“全国省级平台最低挂网价”和“联盟区域内省级平台最低交易价”以及价格来源，无价格产品无需填写。3.</w:t>
            </w:r>
            <w:r>
              <w:rPr>
                <w:rStyle w:val="21"/>
                <w:sz w:val="21"/>
                <w:szCs w:val="21"/>
                <w:lang w:val="en-US" w:eastAsia="zh-CN" w:bidi="ar"/>
              </w:rPr>
              <w:t>联盟区域内省级平台最低交易价</w:t>
            </w:r>
            <w:r>
              <w:rPr>
                <w:rStyle w:val="20"/>
                <w:sz w:val="21"/>
                <w:szCs w:val="21"/>
                <w:lang w:val="en-US" w:eastAsia="zh-CN" w:bidi="ar"/>
              </w:rPr>
              <w:t>：</w:t>
            </w:r>
            <w:r>
              <w:rPr>
                <w:rStyle w:val="19"/>
                <w:sz w:val="21"/>
                <w:szCs w:val="21"/>
                <w:lang w:val="en-US" w:eastAsia="zh-CN" w:bidi="ar"/>
              </w:rPr>
              <w:t>填写联盟地区2021年以来的最低交易价格。4.</w:t>
            </w:r>
            <w:r>
              <w:rPr>
                <w:rStyle w:val="21"/>
                <w:sz w:val="21"/>
                <w:szCs w:val="21"/>
                <w:lang w:val="en-US" w:eastAsia="zh-CN" w:bidi="ar"/>
              </w:rPr>
              <w:t>是否全量供应</w:t>
            </w:r>
            <w:r>
              <w:rPr>
                <w:rStyle w:val="19"/>
                <w:sz w:val="21"/>
                <w:szCs w:val="21"/>
                <w:lang w:val="en-US" w:eastAsia="zh-CN" w:bidi="ar"/>
              </w:rPr>
              <w:t>：填写是或否，如不能全量供应，请在备注栏填写首年可供应数量。</w:t>
            </w:r>
          </w:p>
        </w:tc>
      </w:tr>
    </w:tbl>
    <w:p w14:paraId="45FB30E2">
      <w:pPr>
        <w:pStyle w:val="2"/>
        <w:rPr>
          <w:rFonts w:hint="default"/>
          <w:lang w:val="en-US" w:eastAsia="zh-CN"/>
        </w:rPr>
      </w:pPr>
    </w:p>
    <w:sectPr>
      <w:footerReference r:id="rId5" w:type="default"/>
      <w:pgSz w:w="16838" w:h="11906" w:orient="landscape"/>
      <w:pgMar w:top="720" w:right="567" w:bottom="720" w:left="28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B01FD9-A893-4870-B0F9-3A5813420D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F5BFEFA-4A5F-4210-A967-B56A3F731278}"/>
  </w:font>
  <w:font w:name="仿宋">
    <w:panose1 w:val="02010609060101010101"/>
    <w:charset w:val="86"/>
    <w:family w:val="modern"/>
    <w:pitch w:val="default"/>
    <w:sig w:usb0="800002BF" w:usb1="38CF7CFA" w:usb2="00000016" w:usb3="00000000" w:csb0="00040001" w:csb1="00000000"/>
    <w:embedRegular r:id="rId3" w:fontKey="{FF545D78-5335-4ABD-9412-99842E1788CF}"/>
  </w:font>
  <w:font w:name="方正仿宋简体">
    <w:altName w:val="微软雅黑"/>
    <w:panose1 w:val="00000000000000000000"/>
    <w:charset w:val="86"/>
    <w:family w:val="auto"/>
    <w:pitch w:val="default"/>
    <w:sig w:usb0="00000000" w:usb1="00000000" w:usb2="00000000" w:usb3="00000000" w:csb0="00040000" w:csb1="00000000"/>
    <w:embedRegular r:id="rId4" w:fontKey="{00509F2F-9584-4F1E-A7CA-0F8C367335A1}"/>
  </w:font>
  <w:font w:name="方正小标宋简体">
    <w:panose1 w:val="03000509000000000000"/>
    <w:charset w:val="86"/>
    <w:family w:val="script"/>
    <w:pitch w:val="default"/>
    <w:sig w:usb0="00000001" w:usb1="080E0000" w:usb2="00000000" w:usb3="00000000" w:csb0="00040000" w:csb1="00000000"/>
    <w:embedRegular r:id="rId5" w:fontKey="{27A2B253-4F27-4394-AEC4-F2294ECF16F8}"/>
  </w:font>
  <w:font w:name="楷体">
    <w:panose1 w:val="02010609060101010101"/>
    <w:charset w:val="86"/>
    <w:family w:val="auto"/>
    <w:pitch w:val="default"/>
    <w:sig w:usb0="800002BF" w:usb1="38CF7CFA" w:usb2="00000016" w:usb3="00000000" w:csb0="00040001" w:csb1="00000000"/>
    <w:embedRegular r:id="rId6" w:fontKey="{1E68AF69-5E69-4615-9546-B62455DB2C67}"/>
  </w:font>
  <w:font w:name="仿宋_GB2312">
    <w:panose1 w:val="02010609030101010101"/>
    <w:charset w:val="86"/>
    <w:family w:val="auto"/>
    <w:pitch w:val="default"/>
    <w:sig w:usb0="00000001" w:usb1="080E0000" w:usb2="00000000" w:usb3="00000000" w:csb0="00040000" w:csb1="00000000"/>
    <w:embedRegular r:id="rId7" w:fontKey="{106241F4-400E-4946-B974-08F269E1B90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F16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A795">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C9435">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15C9435">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985F">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4BD7">
                          <w:pPr>
                            <w:pStyle w:val="6"/>
                            <w:rPr>
                              <w:rFonts w:hint="eastAsia" w:eastAsiaTheme="majorEastAsia"/>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4B4BD7">
                    <w:pPr>
                      <w:pStyle w:val="6"/>
                      <w:rPr>
                        <w:rFonts w:hint="eastAsia" w:eastAsiaTheme="majorEastAsia"/>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6E46A"/>
    <w:multiLevelType w:val="singleLevel"/>
    <w:tmpl w:val="3A66E46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DE3YWE5NmRhOTg5OTU2Y2Y2MWUzZmM0MTFmYjIifQ=="/>
    <w:docVar w:name="KSO_WPS_MARK_KEY" w:val="9df56feb-3592-406c-9dce-418ea0d7aa47"/>
  </w:docVars>
  <w:rsids>
    <w:rsidRoot w:val="634F4E78"/>
    <w:rsid w:val="005A592D"/>
    <w:rsid w:val="052B3D6D"/>
    <w:rsid w:val="0CCF6888"/>
    <w:rsid w:val="0FC5746F"/>
    <w:rsid w:val="10385B7B"/>
    <w:rsid w:val="1C13256C"/>
    <w:rsid w:val="1CD61E9D"/>
    <w:rsid w:val="1F176598"/>
    <w:rsid w:val="24F8637D"/>
    <w:rsid w:val="256F1821"/>
    <w:rsid w:val="2E702221"/>
    <w:rsid w:val="2EF663CE"/>
    <w:rsid w:val="3A055C4F"/>
    <w:rsid w:val="3C0F15E1"/>
    <w:rsid w:val="3E72184C"/>
    <w:rsid w:val="3FB1278D"/>
    <w:rsid w:val="410252A8"/>
    <w:rsid w:val="414707DE"/>
    <w:rsid w:val="44075AA6"/>
    <w:rsid w:val="479F1981"/>
    <w:rsid w:val="47B61FCD"/>
    <w:rsid w:val="4C567E51"/>
    <w:rsid w:val="4F753761"/>
    <w:rsid w:val="52321647"/>
    <w:rsid w:val="5455799D"/>
    <w:rsid w:val="54DC110F"/>
    <w:rsid w:val="574A6804"/>
    <w:rsid w:val="5D1678F1"/>
    <w:rsid w:val="5E28115D"/>
    <w:rsid w:val="5E432BE3"/>
    <w:rsid w:val="634F4E78"/>
    <w:rsid w:val="63506F50"/>
    <w:rsid w:val="672F1572"/>
    <w:rsid w:val="67380001"/>
    <w:rsid w:val="68A62BFC"/>
    <w:rsid w:val="68C77CB4"/>
    <w:rsid w:val="69F959A0"/>
    <w:rsid w:val="70144630"/>
    <w:rsid w:val="711716D3"/>
    <w:rsid w:val="73C15750"/>
    <w:rsid w:val="769B50AA"/>
    <w:rsid w:val="77AF1686"/>
    <w:rsid w:val="794C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9"/>
    <w:pPr>
      <w:widowControl/>
      <w:ind w:firstLine="498" w:firstLineChars="200"/>
      <w:jc w:val="left"/>
      <w:outlineLvl w:val="1"/>
    </w:pPr>
    <w:rPr>
      <w:b/>
      <w:kern w:val="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5">
    <w:name w:val="Body Text"/>
    <w:basedOn w:val="1"/>
    <w:unhideWhenUsed/>
    <w:qFormat/>
    <w:uiPriority w:val="99"/>
    <w:pPr>
      <w:spacing w:after="120"/>
    </w:pPr>
    <w:rPr>
      <w:kern w:val="0"/>
      <w:sz w:val="20"/>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WPSOffice手动目录 3"/>
    <w:qFormat/>
    <w:uiPriority w:val="0"/>
    <w:pPr>
      <w:ind w:leftChars="400"/>
    </w:pPr>
    <w:rPr>
      <w:rFonts w:asciiTheme="minorHAnsi" w:hAnsiTheme="minorHAnsi" w:eastAsiaTheme="minorEastAsia" w:cstheme="minorBidi"/>
      <w:sz w:val="20"/>
      <w:szCs w:val="20"/>
    </w:rPr>
  </w:style>
  <w:style w:type="character" w:customStyle="1" w:styleId="17">
    <w:name w:val="font21"/>
    <w:basedOn w:val="12"/>
    <w:qFormat/>
    <w:uiPriority w:val="0"/>
    <w:rPr>
      <w:rFonts w:hint="eastAsia" w:ascii="仿宋" w:hAnsi="仿宋" w:eastAsia="仿宋" w:cs="仿宋"/>
      <w:color w:val="000000"/>
      <w:sz w:val="22"/>
      <w:szCs w:val="22"/>
      <w:u w:val="none"/>
    </w:rPr>
  </w:style>
  <w:style w:type="character" w:customStyle="1" w:styleId="18">
    <w:name w:val="font41"/>
    <w:basedOn w:val="12"/>
    <w:qFormat/>
    <w:uiPriority w:val="0"/>
    <w:rPr>
      <w:rFonts w:ascii="Calibri" w:hAnsi="Calibri" w:cs="Calibri"/>
      <w:color w:val="000000"/>
      <w:sz w:val="22"/>
      <w:szCs w:val="22"/>
      <w:u w:val="none"/>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31"/>
    <w:basedOn w:val="12"/>
    <w:qFormat/>
    <w:uiPriority w:val="0"/>
    <w:rPr>
      <w:rFonts w:hint="eastAsia" w:ascii="宋体" w:hAnsi="宋体" w:eastAsia="宋体" w:cs="宋体"/>
      <w:color w:val="000000"/>
      <w:sz w:val="22"/>
      <w:szCs w:val="22"/>
      <w:u w:val="none"/>
    </w:rPr>
  </w:style>
  <w:style w:type="character" w:customStyle="1" w:styleId="21">
    <w:name w:val="font5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6845</Words>
  <Characters>7293</Characters>
  <Lines>0</Lines>
  <Paragraphs>0</Paragraphs>
  <TotalTime>15</TotalTime>
  <ScaleCrop>false</ScaleCrop>
  <LinksUpToDate>false</LinksUpToDate>
  <CharactersWithSpaces>7549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2024-07-15T03:10:00Z</dcterms:created>
  <dc:creator>南瓜包子</dc:creator>
  <cp:lastModifiedBy>南瓜包子</cp:lastModifiedBy>
  <cp:lastPrinted>2024-08-13T01:26:00Z</cp:lastPrinted>
  <dcterms:modified xsi:type="dcterms:W3CDTF">2024-08-26T08:36:14Z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4754C299BA56450197C8E522F3556C35_13</vt:lpwstr>
  </property>
</Properties>
</file>