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right="357"/>
        <w:jc w:val="left"/>
        <w:rPr>
          <w:rFonts w:hint="eastAsia" w:ascii="仿宋" w:hAnsi="仿宋"/>
          <w:sz w:val="32"/>
          <w:szCs w:val="32"/>
        </w:rPr>
      </w:pPr>
    </w:p>
    <w:p>
      <w:pPr>
        <w:spacing w:line="240" w:lineRule="atLeast"/>
        <w:ind w:right="357"/>
        <w:jc w:val="left"/>
        <w:rPr>
          <w:rFonts w:hint="eastAsia" w:ascii="仿宋" w:hAnsi="仿宋"/>
          <w:sz w:val="32"/>
          <w:szCs w:val="32"/>
        </w:rPr>
      </w:pPr>
    </w:p>
    <w:p>
      <w:pPr>
        <w:spacing w:line="240" w:lineRule="atLeast"/>
        <w:ind w:right="357" w:firstLine="639" w:firstLineChars="199"/>
        <w:rPr>
          <w:rFonts w:hint="eastAsia" w:ascii="仿宋" w:hAnsi="仿宋"/>
          <w:b/>
          <w:sz w:val="32"/>
          <w:szCs w:val="32"/>
        </w:rPr>
      </w:pPr>
    </w:p>
    <w:p>
      <w:pPr>
        <w:spacing w:line="360" w:lineRule="auto"/>
        <w:ind w:firstLine="0" w:firstLineChars="0"/>
        <w:rPr>
          <w:rFonts w:hint="eastAsia" w:ascii="仿宋" w:hAnsi="仿宋"/>
          <w:sz w:val="36"/>
        </w:rPr>
      </w:pPr>
    </w:p>
    <w:p>
      <w:pPr>
        <w:spacing w:line="360" w:lineRule="auto"/>
        <w:ind w:firstLine="0" w:firstLineChars="0"/>
        <w:jc w:val="center"/>
        <w:rPr>
          <w:rFonts w:hint="eastAsia" w:ascii="华文中宋" w:hAnsi="华文中宋" w:eastAsia="华文中宋" w:cs="华文细黑"/>
          <w:sz w:val="52"/>
          <w:szCs w:val="52"/>
        </w:rPr>
      </w:pPr>
      <w:r>
        <w:rPr>
          <w:rFonts w:hint="eastAsia" w:ascii="华文中宋" w:hAnsi="华文中宋" w:eastAsia="华文中宋" w:cs="华文细黑"/>
          <w:sz w:val="52"/>
          <w:szCs w:val="52"/>
        </w:rPr>
        <w:t>十四省（区、兵团）药品集中带量</w:t>
      </w:r>
    </w:p>
    <w:p>
      <w:pPr>
        <w:spacing w:line="360" w:lineRule="auto"/>
        <w:ind w:firstLine="0" w:firstLineChars="0"/>
        <w:jc w:val="center"/>
        <w:rPr>
          <w:rFonts w:hint="eastAsia" w:ascii="华文中宋" w:hAnsi="华文中宋" w:eastAsia="华文中宋" w:cs="华文细黑"/>
          <w:sz w:val="52"/>
          <w:szCs w:val="52"/>
          <w:lang w:eastAsia="zh-CN"/>
        </w:rPr>
      </w:pPr>
      <w:r>
        <w:rPr>
          <w:rFonts w:hint="eastAsia" w:ascii="华文中宋" w:hAnsi="华文中宋" w:eastAsia="华文中宋" w:cs="华文细黑"/>
          <w:sz w:val="52"/>
          <w:szCs w:val="52"/>
        </w:rPr>
        <w:t>采购文件</w:t>
      </w:r>
    </w:p>
    <w:p>
      <w:pPr>
        <w:spacing w:line="360" w:lineRule="auto"/>
        <w:ind w:firstLine="0" w:firstLineChars="0"/>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jc w:val="center"/>
        <w:rPr>
          <w:rFonts w:hint="eastAsia" w:ascii="华文中宋" w:hAnsi="华文中宋" w:eastAsia="华文中宋"/>
          <w:sz w:val="32"/>
        </w:rPr>
      </w:pPr>
    </w:p>
    <w:p>
      <w:pPr>
        <w:spacing w:line="360" w:lineRule="auto"/>
        <w:ind w:firstLine="0" w:firstLineChars="0"/>
        <w:jc w:val="center"/>
        <w:rPr>
          <w:rFonts w:hint="eastAsia" w:ascii="华文中宋" w:hAnsi="华文中宋" w:eastAsia="华文中宋" w:cs="华文细黑"/>
          <w:sz w:val="32"/>
        </w:rPr>
      </w:pPr>
      <w:r>
        <w:rPr>
          <w:rFonts w:hint="eastAsia" w:ascii="华文中宋" w:hAnsi="华文中宋" w:eastAsia="华文中宋" w:cs="华文细黑"/>
          <w:sz w:val="32"/>
        </w:rPr>
        <w:t>采购文件编号：SX-YPDL2024-0</w:t>
      </w:r>
      <w:r>
        <w:rPr>
          <w:rFonts w:ascii="华文中宋" w:hAnsi="华文中宋" w:eastAsia="华文中宋" w:cs="华文细黑"/>
          <w:sz w:val="32"/>
        </w:rPr>
        <w:t>1</w:t>
      </w:r>
    </w:p>
    <w:p>
      <w:pPr>
        <w:snapToGrid w:val="0"/>
        <w:ind w:firstLine="0" w:firstLineChars="0"/>
        <w:rPr>
          <w:rFonts w:hint="eastAsia" w:ascii="华文中宋" w:hAnsi="华文中宋" w:eastAsia="华文中宋"/>
          <w:sz w:val="32"/>
          <w:szCs w:val="32"/>
        </w:rPr>
      </w:pPr>
    </w:p>
    <w:p>
      <w:pPr>
        <w:snapToGrid w:val="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napToGrid w:val="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napToGrid w:val="0"/>
        <w:ind w:firstLine="0" w:firstLineChars="0"/>
        <w:rPr>
          <w:rFonts w:hint="eastAsia" w:ascii="华文中宋" w:hAnsi="华文中宋" w:eastAsia="华文中宋"/>
          <w:sz w:val="32"/>
          <w:szCs w:val="32"/>
        </w:rPr>
      </w:pPr>
    </w:p>
    <w:p>
      <w:pPr>
        <w:spacing w:line="360" w:lineRule="auto"/>
        <w:ind w:firstLine="0" w:firstLineChars="0"/>
        <w:jc w:val="center"/>
        <w:rPr>
          <w:rFonts w:hint="eastAsia" w:ascii="华文中宋" w:hAnsi="华文中宋" w:eastAsia="华文中宋" w:cs="华文细黑"/>
          <w:sz w:val="32"/>
        </w:rPr>
      </w:pPr>
      <w:r>
        <w:rPr>
          <w:rFonts w:hint="eastAsia" w:ascii="华文中宋" w:hAnsi="华文中宋" w:eastAsia="华文中宋" w:cs="华文细黑"/>
          <w:sz w:val="32"/>
        </w:rPr>
        <w:t>陕西省公共资源交易中心</w:t>
      </w:r>
    </w:p>
    <w:p>
      <w:pPr>
        <w:tabs>
          <w:tab w:val="left" w:pos="2863"/>
        </w:tabs>
        <w:snapToGrid w:val="0"/>
        <w:ind w:firstLine="0" w:firstLineChars="0"/>
        <w:jc w:val="center"/>
        <w:rPr>
          <w:rFonts w:hint="eastAsia" w:ascii="华文中宋" w:hAnsi="华文中宋" w:eastAsia="华文中宋" w:cs="华文细黑"/>
          <w:sz w:val="32"/>
          <w:szCs w:val="32"/>
        </w:rPr>
      </w:pPr>
      <w:r>
        <w:rPr>
          <w:rFonts w:hint="eastAsia" w:ascii="华文中宋" w:hAnsi="华文中宋" w:eastAsia="华文中宋" w:cs="华文细黑"/>
          <w:sz w:val="32"/>
        </w:rPr>
        <w:t>2024年</w:t>
      </w:r>
      <w:r>
        <w:rPr>
          <w:rFonts w:hint="eastAsia" w:ascii="华文中宋" w:hAnsi="华文中宋" w:eastAsia="华文中宋" w:cs="华文细黑"/>
          <w:sz w:val="32"/>
          <w:lang w:val="en-US" w:eastAsia="zh-CN"/>
        </w:rPr>
        <w:t>9</w:t>
      </w:r>
      <w:r>
        <w:rPr>
          <w:rFonts w:hint="eastAsia" w:ascii="华文中宋" w:hAnsi="华文中宋" w:eastAsia="华文中宋" w:cs="华文细黑"/>
          <w:sz w:val="32"/>
        </w:rPr>
        <w:t>月</w:t>
      </w:r>
    </w:p>
    <w:p>
      <w:pPr>
        <w:spacing w:line="400" w:lineRule="exact"/>
        <w:ind w:firstLine="0" w:firstLineChars="0"/>
        <w:rPr>
          <w:rFonts w:hint="eastAsia" w:ascii="仿宋" w:hAnsi="仿宋" w:cs="仿宋"/>
          <w:b/>
          <w:bCs/>
          <w:sz w:val="36"/>
          <w:szCs w:val="36"/>
        </w:rPr>
      </w:pPr>
    </w:p>
    <w:p>
      <w:pPr>
        <w:spacing w:line="400" w:lineRule="exact"/>
        <w:ind w:firstLine="0" w:firstLineChars="0"/>
        <w:jc w:val="both"/>
        <w:rPr>
          <w:rFonts w:hint="eastAsia" w:ascii="仿宋" w:hAnsi="仿宋" w:cs="仿宋"/>
          <w:b/>
          <w:bCs/>
          <w:sz w:val="36"/>
          <w:szCs w:val="36"/>
        </w:rPr>
      </w:pPr>
    </w:p>
    <w:p>
      <w:pPr>
        <w:spacing w:line="400" w:lineRule="exact"/>
        <w:ind w:firstLine="0" w:firstLineChars="0"/>
        <w:jc w:val="center"/>
        <w:rPr>
          <w:rFonts w:hint="eastAsia" w:asciiTheme="majorHAnsi" w:hAnsiTheme="majorHAnsi" w:eastAsiaTheme="majorEastAsia" w:cstheme="majorBidi"/>
          <w:b/>
          <w:bCs/>
          <w:color w:val="2F5496" w:themeColor="accent1" w:themeShade="BF"/>
          <w:kern w:val="0"/>
          <w:sz w:val="28"/>
          <w:szCs w:val="28"/>
          <w:lang w:val="zh-CN"/>
        </w:rPr>
      </w:pPr>
      <w:r>
        <w:rPr>
          <w:rFonts w:hint="eastAsia" w:ascii="仿宋" w:hAnsi="仿宋" w:cs="仿宋"/>
          <w:b/>
          <w:bCs/>
          <w:sz w:val="36"/>
          <w:szCs w:val="36"/>
        </w:rPr>
        <w:t>目录</w:t>
      </w:r>
      <w:bookmarkStart w:id="0" w:name="_Toc11440"/>
    </w:p>
    <w:p>
      <w:pPr>
        <w:pStyle w:val="14"/>
        <w:tabs>
          <w:tab w:val="right" w:leader="dot" w:pos="8306"/>
        </w:tabs>
      </w:pPr>
      <w:r>
        <w:rPr>
          <w:rFonts w:ascii="仿宋" w:hAnsi="仿宋" w:cs="仿宋"/>
          <w:sz w:val="28"/>
          <w:szCs w:val="28"/>
        </w:rPr>
        <w:fldChar w:fldCharType="begin"/>
      </w:r>
      <w:r>
        <w:rPr>
          <w:rFonts w:ascii="仿宋" w:hAnsi="仿宋" w:cs="仿宋"/>
          <w:sz w:val="28"/>
          <w:szCs w:val="28"/>
        </w:rPr>
        <w:instrText xml:space="preserve"> TOC \o "1-2" \h \z \u </w:instrText>
      </w:r>
      <w:r>
        <w:rPr>
          <w:rFonts w:ascii="仿宋" w:hAnsi="仿宋" w:cs="仿宋"/>
          <w:sz w:val="28"/>
          <w:szCs w:val="28"/>
        </w:rPr>
        <w:fldChar w:fldCharType="separate"/>
      </w:r>
      <w:r>
        <w:rPr>
          <w:rFonts w:ascii="仿宋" w:hAnsi="仿宋" w:cs="仿宋"/>
          <w:szCs w:val="28"/>
        </w:rPr>
        <w:fldChar w:fldCharType="begin"/>
      </w:r>
      <w:r>
        <w:rPr>
          <w:rFonts w:ascii="仿宋" w:hAnsi="仿宋" w:cs="仿宋"/>
          <w:szCs w:val="28"/>
        </w:rPr>
        <w:instrText xml:space="preserve"> HYPERLINK \l _Toc30023 </w:instrText>
      </w:r>
      <w:r>
        <w:rPr>
          <w:rFonts w:ascii="仿宋" w:hAnsi="仿宋" w:cs="仿宋"/>
          <w:szCs w:val="28"/>
        </w:rPr>
        <w:fldChar w:fldCharType="separate"/>
      </w:r>
      <w:r>
        <w:rPr>
          <w:rFonts w:hint="eastAsia"/>
        </w:rPr>
        <w:t>第一部分 采购邀请</w:t>
      </w:r>
      <w:r>
        <w:tab/>
      </w:r>
      <w:r>
        <w:fldChar w:fldCharType="begin"/>
      </w:r>
      <w:r>
        <w:instrText xml:space="preserve"> PAGEREF _Toc30023 \h </w:instrText>
      </w:r>
      <w:r>
        <w:fldChar w:fldCharType="separate"/>
      </w:r>
      <w:r>
        <w:t>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_Toc28886 </w:instrText>
      </w:r>
      <w:r>
        <w:rPr>
          <w:rFonts w:ascii="仿宋" w:hAnsi="仿宋" w:cs="仿宋"/>
          <w:szCs w:val="28"/>
        </w:rPr>
        <w:fldChar w:fldCharType="separate"/>
      </w:r>
      <w:r>
        <w:rPr>
          <w:rFonts w:hint="eastAsia"/>
        </w:rPr>
        <w:t>一、采购品种及约定采购量</w:t>
      </w:r>
      <w:r>
        <w:tab/>
      </w:r>
      <w:r>
        <w:fldChar w:fldCharType="begin"/>
      </w:r>
      <w:r>
        <w:instrText xml:space="preserve"> PAGEREF _Toc28886 \h </w:instrText>
      </w:r>
      <w:r>
        <w:fldChar w:fldCharType="separate"/>
      </w:r>
      <w:r>
        <w:t>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_Toc14627 </w:instrText>
      </w:r>
      <w:r>
        <w:rPr>
          <w:rFonts w:ascii="仿宋" w:hAnsi="仿宋" w:cs="仿宋"/>
          <w:szCs w:val="28"/>
        </w:rPr>
        <w:fldChar w:fldCharType="separate"/>
      </w:r>
      <w:r>
        <w:rPr>
          <w:rFonts w:hint="eastAsia"/>
        </w:rPr>
        <w:t>二、采购周期与采购协议</w:t>
      </w:r>
      <w:r>
        <w:tab/>
      </w:r>
      <w:r>
        <w:fldChar w:fldCharType="begin"/>
      </w:r>
      <w:r>
        <w:instrText xml:space="preserve"> PAGEREF _Toc14627 \h </w:instrText>
      </w:r>
      <w:r>
        <w:fldChar w:fldCharType="separate"/>
      </w:r>
      <w:r>
        <w:t>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_Toc7938 </w:instrText>
      </w:r>
      <w:r>
        <w:rPr>
          <w:rFonts w:ascii="仿宋" w:hAnsi="仿宋" w:cs="仿宋"/>
          <w:szCs w:val="28"/>
        </w:rPr>
        <w:fldChar w:fldCharType="separate"/>
      </w:r>
      <w:r>
        <w:rPr>
          <w:rFonts w:hint="eastAsia"/>
        </w:rPr>
        <w:t>三、申报要求</w:t>
      </w:r>
      <w:r>
        <w:tab/>
      </w:r>
      <w:r>
        <w:fldChar w:fldCharType="begin"/>
      </w:r>
      <w:r>
        <w:instrText xml:space="preserve"> PAGEREF _Toc7938 \h </w:instrText>
      </w:r>
      <w:r>
        <w:fldChar w:fldCharType="separate"/>
      </w:r>
      <w:r>
        <w:t>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_Toc8704 </w:instrText>
      </w:r>
      <w:r>
        <w:rPr>
          <w:rFonts w:ascii="仿宋" w:hAnsi="仿宋" w:cs="仿宋"/>
          <w:szCs w:val="28"/>
        </w:rPr>
        <w:fldChar w:fldCharType="separate"/>
      </w:r>
      <w:r>
        <w:rPr>
          <w:rFonts w:hint="eastAsia"/>
        </w:rPr>
        <w:t>四、申报材料递交时间和地点</w:t>
      </w:r>
      <w:r>
        <w:tab/>
      </w:r>
      <w:r>
        <w:fldChar w:fldCharType="begin"/>
      </w:r>
      <w:r>
        <w:instrText xml:space="preserve"> PAGEREF _Toc8704 \h </w:instrText>
      </w:r>
      <w:r>
        <w:fldChar w:fldCharType="separate"/>
      </w:r>
      <w:r>
        <w:t>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_Toc26728 </w:instrText>
      </w:r>
      <w:r>
        <w:rPr>
          <w:rFonts w:ascii="仿宋" w:hAnsi="仿宋" w:cs="仿宋"/>
          <w:szCs w:val="28"/>
        </w:rPr>
        <w:fldChar w:fldCharType="separate"/>
      </w:r>
      <w:r>
        <w:rPr>
          <w:rFonts w:hint="eastAsia"/>
        </w:rPr>
        <w:t>五、申报信息公开时间和地点</w:t>
      </w:r>
      <w:r>
        <w:tab/>
      </w:r>
      <w:r>
        <w:fldChar w:fldCharType="begin"/>
      </w:r>
      <w:r>
        <w:instrText xml:space="preserve"> PAGEREF _Toc26728 \h </w:instrText>
      </w:r>
      <w:r>
        <w:fldChar w:fldCharType="separate"/>
      </w:r>
      <w:r>
        <w:t>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_Toc8054 </w:instrText>
      </w:r>
      <w:r>
        <w:rPr>
          <w:rFonts w:ascii="仿宋" w:hAnsi="仿宋" w:cs="仿宋"/>
          <w:szCs w:val="28"/>
        </w:rPr>
        <w:fldChar w:fldCharType="separate"/>
      </w:r>
      <w:r>
        <w:rPr>
          <w:rFonts w:hint="eastAsia"/>
        </w:rPr>
        <w:t>六、咨询电话</w:t>
      </w:r>
      <w:r>
        <w:tab/>
      </w:r>
      <w:r>
        <w:fldChar w:fldCharType="begin"/>
      </w:r>
      <w:r>
        <w:instrText xml:space="preserve"> PAGEREF _Toc8054 \h </w:instrText>
      </w:r>
      <w:r>
        <w:fldChar w:fldCharType="separate"/>
      </w:r>
      <w:r>
        <w:t>4</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_Toc12843 </w:instrText>
      </w:r>
      <w:r>
        <w:rPr>
          <w:rFonts w:ascii="仿宋" w:hAnsi="仿宋" w:cs="仿宋"/>
          <w:szCs w:val="28"/>
        </w:rPr>
        <w:fldChar w:fldCharType="separate"/>
      </w:r>
      <w:r>
        <w:rPr>
          <w:rFonts w:hint="eastAsia"/>
        </w:rPr>
        <w:t>七、其他</w:t>
      </w:r>
      <w:r>
        <w:tab/>
      </w:r>
      <w:r>
        <w:fldChar w:fldCharType="begin"/>
      </w:r>
      <w:r>
        <w:instrText xml:space="preserve"> PAGEREF _Toc12843 \h </w:instrText>
      </w:r>
      <w:r>
        <w:fldChar w:fldCharType="separate"/>
      </w:r>
      <w:r>
        <w:t>4</w:t>
      </w:r>
      <w:r>
        <w:fldChar w:fldCharType="end"/>
      </w:r>
      <w:r>
        <w:rPr>
          <w:rFonts w:ascii="仿宋" w:hAnsi="仿宋" w:cs="仿宋"/>
          <w:szCs w:val="28"/>
        </w:rPr>
        <w:fldChar w:fldCharType="end"/>
      </w:r>
    </w:p>
    <w:p>
      <w:pPr>
        <w:pStyle w:val="14"/>
        <w:tabs>
          <w:tab w:val="right" w:leader="dot" w:pos="8306"/>
        </w:tabs>
      </w:pPr>
      <w:r>
        <w:rPr>
          <w:rFonts w:ascii="仿宋" w:hAnsi="仿宋" w:cs="仿宋"/>
          <w:szCs w:val="28"/>
        </w:rPr>
        <w:fldChar w:fldCharType="begin"/>
      </w:r>
      <w:r>
        <w:rPr>
          <w:rFonts w:ascii="仿宋" w:hAnsi="仿宋" w:cs="仿宋"/>
          <w:szCs w:val="28"/>
        </w:rPr>
        <w:instrText xml:space="preserve"> HYPERLINK \l _Toc3680 </w:instrText>
      </w:r>
      <w:r>
        <w:rPr>
          <w:rFonts w:ascii="仿宋" w:hAnsi="仿宋" w:cs="仿宋"/>
          <w:szCs w:val="28"/>
        </w:rPr>
        <w:fldChar w:fldCharType="separate"/>
      </w:r>
      <w:r>
        <w:rPr>
          <w:rFonts w:hint="eastAsia" w:ascii="仿宋" w:hAnsi="仿宋"/>
          <w:szCs w:val="22"/>
        </w:rPr>
        <w:t>第二部分 申报企业须知</w:t>
      </w:r>
      <w:r>
        <w:tab/>
      </w:r>
      <w:r>
        <w:fldChar w:fldCharType="begin"/>
      </w:r>
      <w:r>
        <w:instrText xml:space="preserve"> PAGEREF _Toc3680 \h </w:instrText>
      </w:r>
      <w:r>
        <w:fldChar w:fldCharType="separate"/>
      </w:r>
      <w:r>
        <w:t>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_Toc18675 </w:instrText>
      </w:r>
      <w:r>
        <w:rPr>
          <w:rFonts w:ascii="仿宋" w:hAnsi="仿宋" w:cs="仿宋"/>
          <w:szCs w:val="28"/>
        </w:rPr>
        <w:fldChar w:fldCharType="separate"/>
      </w:r>
      <w:r>
        <w:rPr>
          <w:rFonts w:hint="eastAsia"/>
        </w:rPr>
        <w:t>一、申报条件及要求</w:t>
      </w:r>
      <w:r>
        <w:tab/>
      </w:r>
      <w:r>
        <w:fldChar w:fldCharType="begin"/>
      </w:r>
      <w:r>
        <w:instrText xml:space="preserve"> PAGEREF _Toc18675 \h </w:instrText>
      </w:r>
      <w:r>
        <w:fldChar w:fldCharType="separate"/>
      </w:r>
      <w:r>
        <w:t>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_Toc18202 </w:instrText>
      </w:r>
      <w:r>
        <w:rPr>
          <w:rFonts w:ascii="仿宋" w:hAnsi="仿宋" w:cs="仿宋"/>
          <w:szCs w:val="28"/>
        </w:rPr>
        <w:fldChar w:fldCharType="separate"/>
      </w:r>
      <w:r>
        <w:rPr>
          <w:rFonts w:hint="eastAsia"/>
        </w:rPr>
        <w:t>二、分组规则及拟中选企业确定</w:t>
      </w:r>
      <w:r>
        <w:tab/>
      </w:r>
      <w:r>
        <w:fldChar w:fldCharType="begin"/>
      </w:r>
      <w:r>
        <w:instrText xml:space="preserve"> PAGEREF _Toc18202 \h </w:instrText>
      </w:r>
      <w:r>
        <w:fldChar w:fldCharType="separate"/>
      </w:r>
      <w:r>
        <w:t>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_Toc12469 </w:instrText>
      </w:r>
      <w:r>
        <w:rPr>
          <w:rFonts w:ascii="仿宋" w:hAnsi="仿宋" w:cs="仿宋"/>
          <w:szCs w:val="28"/>
        </w:rPr>
        <w:fldChar w:fldCharType="separate"/>
      </w:r>
      <w:r>
        <w:rPr>
          <w:rFonts w:hint="eastAsia"/>
        </w:rPr>
        <w:t>三、报价要求</w:t>
      </w:r>
      <w:r>
        <w:tab/>
      </w:r>
      <w:r>
        <w:fldChar w:fldCharType="begin"/>
      </w:r>
      <w:r>
        <w:instrText xml:space="preserve"> PAGEREF _Toc12469 \h </w:instrText>
      </w:r>
      <w:r>
        <w:fldChar w:fldCharType="separate"/>
      </w:r>
      <w:r>
        <w:t>11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_Toc16034 </w:instrText>
      </w:r>
      <w:r>
        <w:rPr>
          <w:rFonts w:ascii="仿宋" w:hAnsi="仿宋" w:cs="仿宋"/>
          <w:szCs w:val="28"/>
        </w:rPr>
        <w:fldChar w:fldCharType="separate"/>
      </w:r>
      <w:r>
        <w:rPr>
          <w:rFonts w:hint="eastAsia"/>
        </w:rPr>
        <w:t>四、申报材料编制要求及构成</w:t>
      </w:r>
      <w:r>
        <w:tab/>
      </w:r>
      <w:r>
        <w:fldChar w:fldCharType="begin"/>
      </w:r>
      <w:r>
        <w:instrText xml:space="preserve"> PAGEREF _Toc16034 \h </w:instrText>
      </w:r>
      <w:r>
        <w:fldChar w:fldCharType="separate"/>
      </w:r>
      <w:r>
        <w:t>13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_Toc4051 </w:instrText>
      </w:r>
      <w:r>
        <w:rPr>
          <w:rFonts w:ascii="仿宋" w:hAnsi="仿宋" w:cs="仿宋"/>
          <w:szCs w:val="28"/>
        </w:rPr>
        <w:fldChar w:fldCharType="separate"/>
      </w:r>
      <w:r>
        <w:rPr>
          <w:rFonts w:hint="eastAsia"/>
        </w:rPr>
        <w:t>五、申报材料封装及递交要求</w:t>
      </w:r>
      <w:r>
        <w:tab/>
      </w:r>
      <w:r>
        <w:fldChar w:fldCharType="begin"/>
      </w:r>
      <w:r>
        <w:instrText xml:space="preserve"> PAGEREF _Toc4051 \h </w:instrText>
      </w:r>
      <w:r>
        <w:fldChar w:fldCharType="separate"/>
      </w:r>
      <w:r>
        <w:t>15</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_Toc22981 </w:instrText>
      </w:r>
      <w:r>
        <w:rPr>
          <w:rFonts w:ascii="仿宋" w:hAnsi="仿宋" w:cs="仿宋"/>
          <w:szCs w:val="28"/>
        </w:rPr>
        <w:fldChar w:fldCharType="separate"/>
      </w:r>
      <w:r>
        <w:rPr>
          <w:rFonts w:hint="eastAsia"/>
        </w:rPr>
        <w:t>六、申报信息公开</w:t>
      </w:r>
      <w:r>
        <w:tab/>
      </w:r>
      <w:r>
        <w:fldChar w:fldCharType="begin"/>
      </w:r>
      <w:r>
        <w:instrText xml:space="preserve"> PAGEREF _Toc22981 \h </w:instrText>
      </w:r>
      <w:r>
        <w:fldChar w:fldCharType="separate"/>
      </w:r>
      <w:r>
        <w:t>16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_Toc30733 </w:instrText>
      </w:r>
      <w:r>
        <w:rPr>
          <w:rFonts w:ascii="仿宋" w:hAnsi="仿宋" w:cs="仿宋"/>
          <w:szCs w:val="28"/>
        </w:rPr>
        <w:fldChar w:fldCharType="separate"/>
      </w:r>
      <w:r>
        <w:rPr>
          <w:rFonts w:hint="eastAsia"/>
        </w:rPr>
        <w:t>七、约定采购量分配</w:t>
      </w:r>
      <w:r>
        <w:tab/>
      </w:r>
      <w:r>
        <w:fldChar w:fldCharType="begin"/>
      </w:r>
      <w:r>
        <w:instrText xml:space="preserve"> PAGEREF _Toc30733 \h </w:instrText>
      </w:r>
      <w:r>
        <w:fldChar w:fldCharType="separate"/>
      </w:r>
      <w:r>
        <w:t>16</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_Toc19143 </w:instrText>
      </w:r>
      <w:r>
        <w:rPr>
          <w:rFonts w:ascii="仿宋" w:hAnsi="仿宋" w:cs="仿宋"/>
          <w:szCs w:val="28"/>
        </w:rPr>
        <w:fldChar w:fldCharType="separate"/>
      </w:r>
      <w:r>
        <w:rPr>
          <w:rFonts w:hint="eastAsia"/>
        </w:rPr>
        <w:t>八、采购执行说明</w:t>
      </w:r>
      <w:r>
        <w:tab/>
      </w:r>
      <w:r>
        <w:fldChar w:fldCharType="begin"/>
      </w:r>
      <w:r>
        <w:instrText xml:space="preserve"> PAGEREF _Toc19143 \h </w:instrText>
      </w:r>
      <w:r>
        <w:fldChar w:fldCharType="separate"/>
      </w:r>
      <w:r>
        <w:t>18</w:t>
      </w:r>
      <w:r>
        <w:fldChar w:fldCharType="end"/>
      </w:r>
      <w:r>
        <w:rPr>
          <w:rFonts w:ascii="仿宋" w:hAnsi="仿宋" w:cs="仿宋"/>
          <w:szCs w:val="28"/>
        </w:rPr>
        <w:fldChar w:fldCharType="end"/>
      </w:r>
    </w:p>
    <w:p>
      <w:pPr>
        <w:pStyle w:val="14"/>
        <w:tabs>
          <w:tab w:val="right" w:leader="dot" w:pos="8306"/>
        </w:tabs>
      </w:pPr>
      <w:r>
        <w:rPr>
          <w:rFonts w:ascii="仿宋" w:hAnsi="仿宋" w:cs="仿宋"/>
          <w:szCs w:val="28"/>
        </w:rPr>
        <w:fldChar w:fldCharType="begin"/>
      </w:r>
      <w:r>
        <w:rPr>
          <w:rFonts w:ascii="仿宋" w:hAnsi="仿宋" w:cs="仿宋"/>
          <w:szCs w:val="28"/>
        </w:rPr>
        <w:instrText xml:space="preserve"> HYPERLINK \l _Toc9239 </w:instrText>
      </w:r>
      <w:r>
        <w:rPr>
          <w:rFonts w:ascii="仿宋" w:hAnsi="仿宋" w:cs="仿宋"/>
          <w:szCs w:val="28"/>
        </w:rPr>
        <w:fldChar w:fldCharType="separate"/>
      </w:r>
      <w:r>
        <w:rPr>
          <w:rFonts w:hint="eastAsia" w:ascii="仿宋" w:hAnsi="仿宋"/>
        </w:rPr>
        <w:t>第三部分 附件</w:t>
      </w:r>
      <w:r>
        <w:tab/>
      </w:r>
      <w:r>
        <w:fldChar w:fldCharType="begin"/>
      </w:r>
      <w:r>
        <w:instrText xml:space="preserve"> PAGEREF _Toc9239 \h </w:instrText>
      </w:r>
      <w:r>
        <w:fldChar w:fldCharType="separate"/>
      </w:r>
      <w:r>
        <w:t>20</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_Toc21789 </w:instrText>
      </w:r>
      <w:r>
        <w:rPr>
          <w:rFonts w:ascii="仿宋" w:hAnsi="仿宋" w:cs="仿宋"/>
          <w:szCs w:val="28"/>
        </w:rPr>
        <w:fldChar w:fldCharType="separate"/>
      </w:r>
      <w:r>
        <w:rPr>
          <w:rFonts w:hint="eastAsia" w:ascii="仿宋" w:hAnsi="仿宋" w:eastAsia="仿宋" w:cs="仿宋"/>
          <w:bCs/>
          <w:szCs w:val="30"/>
        </w:rPr>
        <w:t xml:space="preserve">附件1 </w:t>
      </w:r>
      <w:r>
        <w:rPr>
          <w:rFonts w:hint="eastAsia" w:ascii="黑体" w:hAnsi="黑体" w:cs="黑体"/>
          <w:bCs/>
          <w:szCs w:val="30"/>
          <w:lang w:val="en-US" w:eastAsia="zh-CN"/>
        </w:rPr>
        <w:t xml:space="preserve"> </w:t>
      </w:r>
      <w:r>
        <w:rPr>
          <w:rFonts w:hint="eastAsia" w:ascii="黑体" w:hAnsi="黑体" w:cs="黑体"/>
          <w:lang w:val="en-US" w:eastAsia="zh-CN"/>
        </w:rPr>
        <w:t>十四</w:t>
      </w:r>
      <w:r>
        <w:rPr>
          <w:rFonts w:hint="eastAsia" w:ascii="黑体" w:hAnsi="黑体" w:cs="黑体"/>
        </w:rPr>
        <w:t>省（</w:t>
      </w:r>
      <w:r>
        <w:rPr>
          <w:rFonts w:hint="eastAsia" w:ascii="黑体" w:hAnsi="黑体" w:cs="黑体"/>
          <w:lang w:val="en-US" w:eastAsia="zh-CN"/>
        </w:rPr>
        <w:t>区、兵团</w:t>
      </w:r>
      <w:r>
        <w:rPr>
          <w:rFonts w:hint="eastAsia" w:ascii="黑体" w:hAnsi="黑体" w:cs="黑体"/>
        </w:rPr>
        <w:t>）</w:t>
      </w:r>
      <w:r>
        <w:rPr>
          <w:rFonts w:hint="eastAsia" w:ascii="黑体" w:hAnsi="黑体" w:cs="黑体"/>
          <w:szCs w:val="32"/>
        </w:rPr>
        <w:t>药品集中带量采购申报函</w:t>
      </w:r>
      <w:r>
        <w:tab/>
      </w:r>
      <w:r>
        <w:fldChar w:fldCharType="begin"/>
      </w:r>
      <w:r>
        <w:instrText xml:space="preserve"> PAGEREF _Toc21789 \h </w:instrText>
      </w:r>
      <w:r>
        <w:fldChar w:fldCharType="separate"/>
      </w:r>
      <w:r>
        <w:t>20</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_Toc14039 </w:instrText>
      </w:r>
      <w:r>
        <w:rPr>
          <w:rFonts w:ascii="仿宋" w:hAnsi="仿宋" w:cs="仿宋"/>
          <w:szCs w:val="28"/>
        </w:rPr>
        <w:fldChar w:fldCharType="separate"/>
      </w:r>
      <w:r>
        <w:rPr>
          <w:rFonts w:hint="eastAsia" w:ascii="仿宋" w:hAnsi="仿宋" w:eastAsia="仿宋" w:cs="仿宋"/>
          <w:lang w:val="en-US" w:eastAsia="zh-CN"/>
        </w:rPr>
        <w:t xml:space="preserve">附件2         </w:t>
      </w:r>
      <w:r>
        <w:rPr>
          <w:rFonts w:hint="eastAsia"/>
          <w:lang w:val="en-US" w:eastAsia="zh-CN"/>
        </w:rPr>
        <w:t xml:space="preserve">   法定代表人授权书</w:t>
      </w:r>
      <w:r>
        <w:tab/>
      </w:r>
      <w:r>
        <w:fldChar w:fldCharType="begin"/>
      </w:r>
      <w:r>
        <w:instrText xml:space="preserve"> PAGEREF _Toc14039 \h </w:instrText>
      </w:r>
      <w:r>
        <w:fldChar w:fldCharType="separate"/>
      </w:r>
      <w:r>
        <w:t>21</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_Toc28728 </w:instrText>
      </w:r>
      <w:r>
        <w:rPr>
          <w:rFonts w:ascii="仿宋" w:hAnsi="仿宋" w:cs="仿宋"/>
          <w:szCs w:val="28"/>
        </w:rPr>
        <w:fldChar w:fldCharType="separate"/>
      </w:r>
      <w:r>
        <w:rPr>
          <w:rFonts w:hint="eastAsia" w:ascii="仿宋" w:hAnsi="仿宋" w:eastAsia="仿宋" w:cs="仿宋"/>
          <w:lang w:val="en-US" w:eastAsia="zh-CN"/>
        </w:rPr>
        <w:t xml:space="preserve">附件3             </w:t>
      </w:r>
      <w:r>
        <w:rPr>
          <w:rFonts w:hint="eastAsia"/>
          <w:szCs w:val="32"/>
        </w:rPr>
        <w:t>药品申报企业承诺函</w:t>
      </w:r>
      <w:r>
        <w:tab/>
      </w:r>
      <w:r>
        <w:fldChar w:fldCharType="begin"/>
      </w:r>
      <w:r>
        <w:instrText xml:space="preserve"> PAGEREF _Toc28728 \h </w:instrText>
      </w:r>
      <w:r>
        <w:fldChar w:fldCharType="separate"/>
      </w:r>
      <w:r>
        <w:t>22</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_Toc12691 </w:instrText>
      </w:r>
      <w:r>
        <w:rPr>
          <w:rFonts w:ascii="仿宋" w:hAnsi="仿宋" w:cs="仿宋"/>
          <w:szCs w:val="28"/>
        </w:rPr>
        <w:fldChar w:fldCharType="separate"/>
      </w:r>
      <w:r>
        <w:rPr>
          <w:rFonts w:hint="eastAsia" w:ascii="仿宋" w:hAnsi="仿宋" w:eastAsia="仿宋" w:cs="仿宋"/>
          <w:bCs/>
          <w:kern w:val="2"/>
          <w:szCs w:val="30"/>
          <w:lang w:val="en-US" w:eastAsia="zh-CN" w:bidi="ar-SA"/>
        </w:rPr>
        <w:t xml:space="preserve">附件4 </w:t>
      </w:r>
      <w:r>
        <w:rPr>
          <w:rFonts w:hint="eastAsia"/>
        </w:rPr>
        <w:t xml:space="preserve">        </w:t>
      </w:r>
      <w:r>
        <w:rPr>
          <w:rFonts w:ascii="黑体" w:hAnsi="黑体"/>
          <w:szCs w:val="32"/>
        </w:rPr>
        <w:t>“</w:t>
      </w:r>
      <w:r>
        <w:rPr>
          <w:rFonts w:hint="eastAsia" w:ascii="黑体" w:hAnsi="黑体"/>
          <w:szCs w:val="32"/>
        </w:rPr>
        <w:t>申报产品一览表</w:t>
      </w:r>
      <w:r>
        <w:rPr>
          <w:rFonts w:ascii="黑体" w:hAnsi="黑体"/>
          <w:szCs w:val="32"/>
        </w:rPr>
        <w:t>”</w:t>
      </w:r>
      <w:r>
        <w:rPr>
          <w:rFonts w:hint="eastAsia" w:ascii="黑体" w:hAnsi="黑体"/>
          <w:szCs w:val="32"/>
        </w:rPr>
        <w:t>信封封面样张</w:t>
      </w:r>
      <w:r>
        <w:tab/>
      </w:r>
      <w:r>
        <w:fldChar w:fldCharType="begin"/>
      </w:r>
      <w:r>
        <w:instrText xml:space="preserve"> PAGEREF _Toc12691 \h </w:instrText>
      </w:r>
      <w:r>
        <w:fldChar w:fldCharType="separate"/>
      </w:r>
      <w:r>
        <w:t>23</w:t>
      </w:r>
      <w:r>
        <w:fldChar w:fldCharType="end"/>
      </w:r>
      <w:r>
        <w:rPr>
          <w:rFonts w:ascii="仿宋" w:hAnsi="仿宋" w:cs="仿宋"/>
          <w:szCs w:val="28"/>
        </w:rPr>
        <w:fldChar w:fldCharType="end"/>
      </w:r>
    </w:p>
    <w:p>
      <w:pPr>
        <w:pStyle w:val="16"/>
        <w:tabs>
          <w:tab w:val="right" w:leader="dot" w:pos="8306"/>
        </w:tabs>
      </w:pPr>
      <w:r>
        <w:rPr>
          <w:rFonts w:ascii="仿宋" w:hAnsi="仿宋" w:cs="仿宋"/>
          <w:szCs w:val="28"/>
        </w:rPr>
        <w:fldChar w:fldCharType="begin"/>
      </w:r>
      <w:r>
        <w:rPr>
          <w:rFonts w:ascii="仿宋" w:hAnsi="仿宋" w:cs="仿宋"/>
          <w:szCs w:val="28"/>
        </w:rPr>
        <w:instrText xml:space="preserve"> HYPERLINK \l _Toc18808 </w:instrText>
      </w:r>
      <w:r>
        <w:rPr>
          <w:rFonts w:ascii="仿宋" w:hAnsi="仿宋" w:cs="仿宋"/>
          <w:szCs w:val="28"/>
        </w:rPr>
        <w:fldChar w:fldCharType="separate"/>
      </w:r>
      <w:r>
        <w:rPr>
          <w:rFonts w:hint="eastAsia" w:ascii="仿宋" w:hAnsi="仿宋" w:eastAsia="仿宋" w:cs="仿宋"/>
          <w:lang w:val="en-US" w:eastAsia="zh-CN"/>
        </w:rPr>
        <w:t>附件5</w:t>
      </w:r>
      <w:r>
        <w:rPr>
          <w:rFonts w:hint="eastAsia"/>
          <w:lang w:val="en-US" w:eastAsia="zh-CN"/>
        </w:rPr>
        <w:t xml:space="preserve">             分组及评分指标证明材料</w:t>
      </w:r>
      <w:r>
        <w:tab/>
      </w:r>
      <w:r>
        <w:fldChar w:fldCharType="begin"/>
      </w:r>
      <w:r>
        <w:instrText xml:space="preserve"> PAGEREF _Toc18808 \h </w:instrText>
      </w:r>
      <w:r>
        <w:fldChar w:fldCharType="separate"/>
      </w:r>
      <w:r>
        <w:t>24</w:t>
      </w:r>
      <w:r>
        <w:fldChar w:fldCharType="end"/>
      </w:r>
      <w:r>
        <w:rPr>
          <w:rFonts w:ascii="仿宋" w:hAnsi="仿宋" w:cs="仿宋"/>
          <w:szCs w:val="28"/>
        </w:rPr>
        <w:fldChar w:fldCharType="end"/>
      </w:r>
    </w:p>
    <w:p>
      <w:pPr>
        <w:spacing w:line="440" w:lineRule="exact"/>
        <w:ind w:firstLine="600"/>
        <w:outlineLvl w:val="1"/>
        <w:rPr>
          <w:rFonts w:hint="eastAsia" w:ascii="仿宋" w:hAnsi="仿宋" w:cs="仿宋"/>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titlePg/>
          <w:docGrid w:type="lines" w:linePitch="312" w:charSpace="0"/>
        </w:sectPr>
      </w:pPr>
      <w:r>
        <w:rPr>
          <w:rFonts w:ascii="仿宋" w:hAnsi="仿宋" w:cs="仿宋"/>
          <w:szCs w:val="28"/>
        </w:rPr>
        <w:fldChar w:fldCharType="end"/>
      </w:r>
    </w:p>
    <w:p>
      <w:pPr>
        <w:pStyle w:val="2"/>
      </w:pPr>
      <w:bookmarkStart w:id="1" w:name="_Toc30023"/>
      <w:r>
        <w:rPr>
          <w:rFonts w:hint="eastAsia"/>
        </w:rPr>
        <w:t>第一部分 采购邀请</w:t>
      </w:r>
      <w:bookmarkEnd w:id="0"/>
      <w:bookmarkEnd w:id="1"/>
    </w:p>
    <w:p>
      <w:pPr>
        <w:ind w:firstLine="0" w:firstLineChars="0"/>
        <w:jc w:val="center"/>
        <w:rPr>
          <w:rFonts w:hint="eastAsia" w:ascii="仿宋" w:hAnsi="仿宋"/>
          <w:b/>
          <w:bCs/>
          <w:szCs w:val="30"/>
        </w:rPr>
      </w:pPr>
      <w:r>
        <w:rPr>
          <w:rFonts w:hint="eastAsia" w:ascii="仿宋" w:hAnsi="仿宋"/>
          <w:b/>
          <w:bCs/>
          <w:szCs w:val="30"/>
        </w:rPr>
        <w:t>十四省（区、兵团）药品集中带量采购</w:t>
      </w:r>
    </w:p>
    <w:p>
      <w:pPr>
        <w:ind w:firstLine="0" w:firstLineChars="0"/>
        <w:jc w:val="center"/>
        <w:rPr>
          <w:rFonts w:hint="eastAsia" w:ascii="仿宋" w:hAnsi="仿宋"/>
          <w:b/>
          <w:bCs/>
          <w:szCs w:val="30"/>
        </w:rPr>
      </w:pPr>
      <w:r>
        <w:rPr>
          <w:rFonts w:hint="eastAsia" w:ascii="仿宋" w:hAnsi="仿宋"/>
          <w:b/>
          <w:bCs/>
          <w:szCs w:val="30"/>
        </w:rPr>
        <w:t>邀请函</w:t>
      </w:r>
    </w:p>
    <w:p>
      <w:pPr>
        <w:spacing w:line="600" w:lineRule="exact"/>
        <w:ind w:firstLine="0" w:firstLineChars="0"/>
        <w:jc w:val="center"/>
        <w:rPr>
          <w:rFonts w:hint="eastAsia" w:ascii="仿宋" w:hAnsi="仿宋"/>
          <w:bCs/>
          <w:spacing w:val="-20"/>
          <w:sz w:val="24"/>
        </w:rPr>
      </w:pPr>
      <w:r>
        <w:rPr>
          <w:rFonts w:hint="eastAsia" w:ascii="仿宋" w:hAnsi="仿宋"/>
          <w:sz w:val="28"/>
          <w:szCs w:val="28"/>
        </w:rPr>
        <w:t>（编号：SX-YPDL2024-01）</w:t>
      </w:r>
    </w:p>
    <w:p>
      <w:pPr>
        <w:ind w:firstLine="0" w:firstLineChars="0"/>
        <w:rPr>
          <w:rFonts w:hint="eastAsia" w:ascii="仿宋" w:hAnsi="仿宋"/>
          <w:szCs w:val="30"/>
        </w:rPr>
      </w:pPr>
      <w:r>
        <w:rPr>
          <w:rFonts w:hint="eastAsia" w:ascii="仿宋" w:hAnsi="仿宋"/>
          <w:szCs w:val="30"/>
        </w:rPr>
        <w:t>各相关企业：</w:t>
      </w:r>
    </w:p>
    <w:p>
      <w:pPr>
        <w:ind w:firstLine="600"/>
      </w:pPr>
      <w:r>
        <w:t>为贯彻落实《国务院办公厅关于推动药品集中带量采购工作常态化制度化开展的意见》（国办发〔2021〕2号）文件精神，</w:t>
      </w:r>
      <w:r>
        <w:rPr>
          <w:rFonts w:hint="eastAsia"/>
        </w:rPr>
        <w:t>推动药品集中带量采购工作常态化制度化开展，持续</w:t>
      </w:r>
      <w:r>
        <w:t>减轻群众医药</w:t>
      </w:r>
      <w:r>
        <w:rPr>
          <w:rFonts w:hint="eastAsia"/>
        </w:rPr>
        <w:t>费用</w:t>
      </w:r>
      <w:r>
        <w:t>负担，</w:t>
      </w:r>
      <w:r>
        <w:rPr>
          <w:rFonts w:hint="eastAsia"/>
        </w:rPr>
        <w:t>陕西牵头黑龙江、安徽、</w:t>
      </w:r>
      <w:r>
        <w:t>江西</w:t>
      </w:r>
      <w:r>
        <w:rPr>
          <w:rFonts w:hint="eastAsia"/>
        </w:rPr>
        <w:t>、</w:t>
      </w:r>
      <w:r>
        <w:t>河南、</w:t>
      </w:r>
      <w:r>
        <w:rPr>
          <w:rFonts w:hint="eastAsia"/>
        </w:rPr>
        <w:t>湖北</w:t>
      </w:r>
      <w:r>
        <w:t>、</w:t>
      </w:r>
      <w:r>
        <w:rPr>
          <w:rFonts w:hint="eastAsia"/>
        </w:rPr>
        <w:t>湖南</w:t>
      </w:r>
      <w:r>
        <w:t>、广西、贵州、</w:t>
      </w:r>
      <w:r>
        <w:rPr>
          <w:rFonts w:hint="eastAsia"/>
        </w:rPr>
        <w:t>西藏、</w:t>
      </w:r>
      <w:r>
        <w:t>青海、宁夏、新疆、新疆建设兵团等十四省（区、兵团）组成省际联盟，代表上述地区医</w:t>
      </w:r>
      <w:r>
        <w:rPr>
          <w:rFonts w:hint="eastAsia"/>
        </w:rPr>
        <w:t>药</w:t>
      </w:r>
      <w:r>
        <w:t>机构开展药品</w:t>
      </w:r>
      <w:r>
        <w:rPr>
          <w:rFonts w:hint="eastAsia"/>
        </w:rPr>
        <w:t>集中</w:t>
      </w:r>
      <w:r>
        <w:t>带量采购工作。</w:t>
      </w:r>
      <w:r>
        <w:rPr>
          <w:rFonts w:hint="eastAsia"/>
        </w:rPr>
        <w:t>根据</w:t>
      </w:r>
      <w:r>
        <w:rPr>
          <w:rFonts w:hint="eastAsia" w:ascii="仿宋" w:hAnsi="仿宋"/>
        </w:rPr>
        <w:t>陕西省医疗保障局《十四省（区、兵团）药品集中带量采购工作实施方案</w:t>
      </w:r>
      <w:r>
        <w:rPr>
          <w:rFonts w:hint="eastAsia"/>
        </w:rPr>
        <w:t>》</w:t>
      </w:r>
      <w:r>
        <w:rPr>
          <w:rFonts w:hint="eastAsia" w:ascii="仿宋" w:hAnsi="仿宋"/>
        </w:rPr>
        <w:t>，结合工作实际，制定本采购文件</w:t>
      </w:r>
      <w:r>
        <w:rPr>
          <w:rFonts w:hint="eastAsia" w:ascii="仿宋" w:hAnsi="仿宋"/>
          <w:szCs w:val="30"/>
        </w:rPr>
        <w:t>。</w:t>
      </w:r>
    </w:p>
    <w:p>
      <w:pPr>
        <w:pStyle w:val="3"/>
        <w:ind w:firstLine="600"/>
      </w:pPr>
      <w:bookmarkStart w:id="2" w:name="_Toc28886"/>
      <w:bookmarkStart w:id="3" w:name="_Toc22599"/>
      <w:r>
        <w:rPr>
          <w:rFonts w:hint="eastAsia"/>
        </w:rPr>
        <w:t>一、采购品种及约定采购量</w:t>
      </w:r>
      <w:bookmarkEnd w:id="2"/>
      <w:bookmarkEnd w:id="3"/>
    </w:p>
    <w:p>
      <w:pPr>
        <w:ind w:firstLine="600"/>
        <w:rPr>
          <w:rFonts w:hint="eastAsia" w:ascii="仿宋" w:hAnsi="仿宋"/>
          <w:szCs w:val="30"/>
        </w:rPr>
      </w:pPr>
      <w:r>
        <w:rPr>
          <w:rFonts w:hint="eastAsia" w:ascii="仿宋" w:hAnsi="仿宋"/>
          <w:szCs w:val="30"/>
        </w:rPr>
        <w:t>（一）采购品种</w:t>
      </w:r>
    </w:p>
    <w:p>
      <w:pPr>
        <w:ind w:firstLine="600"/>
      </w:pPr>
      <w:r>
        <w:rPr>
          <w:rFonts w:hint="eastAsia" w:ascii="仿宋_GB2312" w:hAnsi="仿宋_GB2312" w:eastAsia="仿宋_GB2312" w:cs="仿宋_GB2312"/>
        </w:rPr>
        <w:t>本次集采品种为19个药品。企业生产的所有符合申报品种资格的规格均须申报。</w:t>
      </w:r>
    </w:p>
    <w:p>
      <w:pPr>
        <w:ind w:firstLine="600"/>
        <w:rPr>
          <w:rFonts w:hint="eastAsia" w:ascii="仿宋" w:hAnsi="仿宋"/>
          <w:szCs w:val="30"/>
        </w:rPr>
      </w:pPr>
      <w:r>
        <w:rPr>
          <w:rFonts w:hint="eastAsia" w:ascii="仿宋" w:hAnsi="仿宋"/>
          <w:szCs w:val="30"/>
        </w:rPr>
        <w:t>（二）约定采购量</w:t>
      </w:r>
    </w:p>
    <w:p>
      <w:pPr>
        <w:ind w:firstLine="600"/>
        <w:rPr>
          <w:rFonts w:hint="eastAsia" w:ascii="仿宋" w:hAnsi="仿宋"/>
          <w:szCs w:val="30"/>
        </w:rPr>
      </w:pPr>
      <w:r>
        <w:rPr>
          <w:rFonts w:hint="eastAsia" w:ascii="仿宋" w:hAnsi="仿宋"/>
          <w:szCs w:val="30"/>
        </w:rPr>
        <w:t>1.医药机构根据申报成功企业产品名单，结合上年度实际使用量、临床使用状况和医药技术进步等因素，填报未来一年的拟采购需求量。</w:t>
      </w:r>
    </w:p>
    <w:p>
      <w:pPr>
        <w:ind w:firstLine="600"/>
        <w:jc w:val="left"/>
        <w:rPr>
          <w:rFonts w:hint="eastAsia" w:ascii="仿宋" w:hAnsi="仿宋"/>
          <w:szCs w:val="30"/>
        </w:rPr>
      </w:pPr>
      <w:r>
        <w:rPr>
          <w:rFonts w:hint="eastAsia" w:ascii="仿宋" w:hAnsi="仿宋"/>
          <w:szCs w:val="30"/>
        </w:rPr>
        <w:t>2.约定采购量按照不低于上报需求量的</w:t>
      </w:r>
      <w:r>
        <w:rPr>
          <w:rFonts w:ascii="仿宋" w:hAnsi="仿宋"/>
          <w:szCs w:val="30"/>
        </w:rPr>
        <w:t>8</w:t>
      </w:r>
      <w:r>
        <w:rPr>
          <w:rFonts w:hint="eastAsia" w:ascii="仿宋" w:hAnsi="仿宋"/>
          <w:szCs w:val="30"/>
        </w:rPr>
        <w:t>0%确定，原则上不少于上一年度协议采购量。其中，纳入国家和联盟地区重点监控合理用药药品目录的药品按上报需求量的5</w:t>
      </w:r>
      <w:r>
        <w:rPr>
          <w:rFonts w:ascii="仿宋" w:hAnsi="仿宋"/>
          <w:szCs w:val="30"/>
        </w:rPr>
        <w:t>0%</w:t>
      </w:r>
      <w:r>
        <w:rPr>
          <w:rFonts w:hint="eastAsia" w:ascii="仿宋" w:hAnsi="仿宋"/>
          <w:szCs w:val="30"/>
        </w:rPr>
        <w:t>作为约定采购量。</w:t>
      </w:r>
    </w:p>
    <w:p>
      <w:pPr>
        <w:ind w:firstLine="600"/>
        <w:jc w:val="left"/>
        <w:rPr>
          <w:rFonts w:hint="eastAsia" w:ascii="仿宋" w:hAnsi="仿宋"/>
          <w:szCs w:val="30"/>
        </w:rPr>
      </w:pPr>
      <w:r>
        <w:rPr>
          <w:rFonts w:hint="eastAsia" w:ascii="仿宋" w:hAnsi="仿宋"/>
          <w:szCs w:val="30"/>
        </w:rPr>
        <w:t>3.联盟地区首年约定采购量计算基数及</w:t>
      </w:r>
      <w:r>
        <w:rPr>
          <w:rFonts w:ascii="仿宋" w:hAnsi="仿宋"/>
          <w:szCs w:val="30"/>
        </w:rPr>
        <w:t>相应比例采购量</w:t>
      </w:r>
      <w:r>
        <w:rPr>
          <w:rFonts w:hint="eastAsia" w:ascii="仿宋" w:hAnsi="仿宋"/>
          <w:szCs w:val="30"/>
        </w:rPr>
        <w:t>（单位：万片/万袋/万支）（</w:t>
      </w:r>
      <w:r>
        <w:rPr>
          <w:rFonts w:hint="eastAsia" w:ascii="仿宋" w:hAnsi="仿宋"/>
          <w:szCs w:val="30"/>
          <w:lang w:val="en-US" w:eastAsia="zh-CN"/>
        </w:rPr>
        <w:t>详见评审资料申报通知附件</w:t>
      </w:r>
      <w:r>
        <w:rPr>
          <w:rFonts w:hint="eastAsia" w:ascii="仿宋" w:hAnsi="仿宋"/>
          <w:szCs w:val="30"/>
        </w:rPr>
        <w:t>）。</w:t>
      </w:r>
    </w:p>
    <w:p>
      <w:pPr>
        <w:pStyle w:val="3"/>
        <w:ind w:firstLine="600"/>
      </w:pPr>
      <w:bookmarkStart w:id="4" w:name="_Toc2550"/>
      <w:bookmarkStart w:id="5" w:name="_Toc14627"/>
      <w:bookmarkStart w:id="6" w:name="_Toc3139"/>
      <w:r>
        <w:rPr>
          <w:rFonts w:hint="eastAsia"/>
        </w:rPr>
        <w:t>二、采购周期与采购协议</w:t>
      </w:r>
      <w:bookmarkEnd w:id="4"/>
      <w:bookmarkEnd w:id="5"/>
    </w:p>
    <w:p>
      <w:pPr>
        <w:adjustRightInd w:val="0"/>
        <w:snapToGrid w:val="0"/>
        <w:ind w:firstLine="600"/>
        <w:rPr>
          <w:rFonts w:hint="eastAsia" w:ascii="仿宋" w:hAnsi="仿宋"/>
          <w:szCs w:val="30"/>
        </w:rPr>
      </w:pPr>
      <w:r>
        <w:rPr>
          <w:rFonts w:hint="eastAsia" w:ascii="仿宋" w:hAnsi="仿宋"/>
          <w:szCs w:val="30"/>
        </w:rPr>
        <w:t>（一）采购周期为两年，自中选结果实际执行日起计算。如需延长采购周期，在采购周期结束前另行通知。采购周期内采购品种纳入国家集采范围的，相关采购品种采购周期予以调整，有序衔接国家集采结果执行时间。</w:t>
      </w:r>
    </w:p>
    <w:p>
      <w:pPr>
        <w:adjustRightInd w:val="0"/>
        <w:snapToGrid w:val="0"/>
        <w:ind w:firstLine="600"/>
        <w:rPr>
          <w:rFonts w:hint="eastAsia" w:ascii="仿宋" w:hAnsi="仿宋"/>
          <w:szCs w:val="30"/>
        </w:rPr>
      </w:pPr>
      <w:r>
        <w:rPr>
          <w:rFonts w:hint="eastAsia" w:ascii="仿宋" w:hAnsi="仿宋"/>
          <w:szCs w:val="30"/>
        </w:rPr>
        <w:t>（二）采购周期内采购协议每年一签。续签采购协议时，协议采购量原则上不少于各地该中选药品上一年度约定采购量。</w:t>
      </w:r>
    </w:p>
    <w:p>
      <w:pPr>
        <w:adjustRightInd w:val="0"/>
        <w:ind w:firstLine="600"/>
        <w:rPr>
          <w:rFonts w:hint="eastAsia" w:ascii="仿宋" w:hAnsi="仿宋"/>
          <w:szCs w:val="30"/>
        </w:rPr>
      </w:pPr>
      <w:r>
        <w:rPr>
          <w:rFonts w:hint="eastAsia" w:ascii="仿宋" w:hAnsi="仿宋"/>
          <w:szCs w:val="30"/>
        </w:rPr>
        <w:t>（三）采购周期内医药机构若提前完成当年约定采购量，超量部分仍应优先采购中选产品，中选企业仍应按中选价供应，直至采购周期届满；医药机构也可通过联盟地区各省级医药集中采购平台（以下简称“采购平台”）适量采购其他价格适宜的挂网产品。采购周期内同品种非中选产品的使用量不得超过中选产品的使用量。</w:t>
      </w:r>
    </w:p>
    <w:p>
      <w:pPr>
        <w:pStyle w:val="3"/>
        <w:ind w:firstLine="600"/>
        <w:rPr>
          <w:rFonts w:hint="eastAsia" w:ascii="仿宋" w:hAnsi="仿宋"/>
          <w:szCs w:val="30"/>
        </w:rPr>
      </w:pPr>
      <w:bookmarkStart w:id="7" w:name="_Toc12796"/>
      <w:bookmarkStart w:id="8" w:name="_Toc7938"/>
      <w:r>
        <w:rPr>
          <w:rFonts w:hint="eastAsia"/>
        </w:rPr>
        <w:t>三、</w:t>
      </w:r>
      <w:bookmarkEnd w:id="7"/>
      <w:r>
        <w:rPr>
          <w:rFonts w:hint="eastAsia"/>
        </w:rPr>
        <w:t>申报</w:t>
      </w:r>
      <w:bookmarkEnd w:id="6"/>
      <w:r>
        <w:rPr>
          <w:rFonts w:hint="eastAsia"/>
        </w:rPr>
        <w:t>要求</w:t>
      </w:r>
      <w:bookmarkEnd w:id="8"/>
    </w:p>
    <w:p>
      <w:pPr>
        <w:ind w:firstLine="600"/>
        <w:rPr>
          <w:rFonts w:hint="eastAsia" w:ascii="仿宋" w:hAnsi="仿宋"/>
          <w:szCs w:val="30"/>
        </w:rPr>
      </w:pPr>
      <w:r>
        <w:rPr>
          <w:rFonts w:hint="eastAsia" w:ascii="仿宋" w:hAnsi="仿宋"/>
          <w:szCs w:val="30"/>
        </w:rPr>
        <w:t>（一）申报企业：提供药品及伴随服务的国内药品生产企业，药品上市许可持有人，境外药品上市许可持有人境内代理人（进口药品国内总代理视同生产企业），在质量标准、生产能力、供应稳定性、企业信用等方面达到本次采购要求的企业；</w:t>
      </w:r>
      <w:r>
        <w:rPr>
          <w:rFonts w:hint="eastAsia" w:ascii="仿宋_GB2312" w:eastAsia="仿宋_GB2312"/>
          <w:sz w:val="32"/>
          <w:szCs w:val="32"/>
        </w:rPr>
        <w:t>申报期间如遇代理权纠纷的企业不接受申报。</w:t>
      </w:r>
    </w:p>
    <w:p>
      <w:pPr>
        <w:ind w:firstLine="600"/>
        <w:rPr>
          <w:rFonts w:hint="eastAsia" w:ascii="仿宋" w:hAnsi="仿宋"/>
          <w:szCs w:val="30"/>
        </w:rPr>
      </w:pPr>
      <w:r>
        <w:rPr>
          <w:rFonts w:hint="eastAsia" w:ascii="仿宋" w:hAnsi="仿宋"/>
          <w:szCs w:val="30"/>
        </w:rPr>
        <w:t>（二）申报品种：属于本次采购品种目录范围并获得国内有效注册批件的上市药品。须符合国家药品标准和经国家药品监督管理部门核准的药品质量标准，并按照国家药品监督管理部门发布的相关技术指导文件组织生产。</w:t>
      </w:r>
    </w:p>
    <w:p>
      <w:pPr>
        <w:ind w:firstLine="600"/>
        <w:jc w:val="left"/>
        <w:rPr>
          <w:rFonts w:hint="eastAsia" w:ascii="仿宋" w:hAnsi="仿宋"/>
          <w:szCs w:val="30"/>
        </w:rPr>
      </w:pPr>
      <w:r>
        <w:rPr>
          <w:rFonts w:hint="eastAsia" w:ascii="仿宋" w:hAnsi="仿宋"/>
          <w:szCs w:val="30"/>
        </w:rPr>
        <w:t>（三）申报资格</w:t>
      </w:r>
    </w:p>
    <w:p>
      <w:pPr>
        <w:ind w:firstLine="600"/>
        <w:rPr>
          <w:rFonts w:hint="eastAsia" w:ascii="仿宋" w:hAnsi="仿宋"/>
          <w:szCs w:val="30"/>
        </w:rPr>
      </w:pPr>
      <w:r>
        <w:rPr>
          <w:rFonts w:hint="eastAsia" w:ascii="仿宋" w:hAnsi="仿宋"/>
          <w:szCs w:val="30"/>
        </w:rPr>
        <w:t>1.申报企业须确保在采购周期内满足联盟地区中选药品的采购需求，包括约定采购量以及超出约定采购量的部分。</w:t>
      </w:r>
    </w:p>
    <w:p>
      <w:pPr>
        <w:ind w:firstLine="600"/>
        <w:rPr>
          <w:rFonts w:ascii="仿宋" w:hAnsi="仿宋"/>
          <w:szCs w:val="30"/>
        </w:rPr>
      </w:pPr>
      <w:r>
        <w:rPr>
          <w:rFonts w:hint="eastAsia" w:ascii="仿宋" w:hAnsi="仿宋"/>
          <w:szCs w:val="30"/>
        </w:rPr>
        <w:t>2.依据医药价格和招采信用评价制度，申报企业被列入当前《全国医药价格和招采失信企业风险警示名单》，或在联盟地区被评定为“特别严重”失信等级的，不得参加本次集采。</w:t>
      </w:r>
    </w:p>
    <w:p>
      <w:pPr>
        <w:rPr>
          <w:rFonts w:ascii="仿宋" w:hAnsi="仿宋"/>
          <w:szCs w:val="30"/>
        </w:rPr>
      </w:pPr>
      <w:r>
        <w:rPr>
          <w:rFonts w:hint="eastAsia" w:ascii="仿宋_GB2312" w:eastAsia="仿宋_GB2312"/>
          <w:sz w:val="32"/>
          <w:szCs w:val="32"/>
        </w:rPr>
        <w:t>3.</w:t>
      </w:r>
      <w:r>
        <w:rPr>
          <w:rFonts w:hint="eastAsia" w:ascii="仿宋" w:hAnsi="仿宋"/>
          <w:szCs w:val="30"/>
        </w:rPr>
        <w:t>自采购文件挂网公布之日起回溯前两年内，申报企业无严重违法记录，如在医药购销中给予回扣或其他不正当利益、涉税违法、实施垄断行为、不正当价格行为、扰乱集中采购秩序、恶意违反合同约定等有悖诚实信用的行为。</w:t>
      </w:r>
    </w:p>
    <w:p>
      <w:pPr>
        <w:snapToGrid w:val="0"/>
        <w:ind w:firstLine="600"/>
        <w:rPr>
          <w:rFonts w:ascii="仿宋" w:hAnsi="仿宋"/>
          <w:szCs w:val="30"/>
        </w:rPr>
      </w:pPr>
      <w:bookmarkStart w:id="9" w:name="_Toc15364"/>
      <w:r>
        <w:rPr>
          <w:rFonts w:hint="eastAsia" w:ascii="仿宋" w:hAnsi="仿宋"/>
          <w:szCs w:val="30"/>
        </w:rPr>
        <w:t>4.自采购文件挂网公布之日起回溯前两年内，申报企业不存在因申报品种质量等问题被省级及以上药品监督管理部门处罚并公告的情况；申报品种在生产环节质量抽查检查中，不存在省级及以上药品监督管理部门质量检验不合格并公告的情况。</w:t>
      </w:r>
    </w:p>
    <w:bookmarkEnd w:id="9"/>
    <w:p>
      <w:pPr>
        <w:ind w:firstLine="600"/>
        <w:jc w:val="left"/>
        <w:rPr>
          <w:rFonts w:hint="eastAsia" w:ascii="仿宋" w:hAnsi="仿宋"/>
          <w:szCs w:val="30"/>
        </w:rPr>
      </w:pPr>
      <w:r>
        <w:rPr>
          <w:rFonts w:hint="eastAsia" w:ascii="仿宋" w:hAnsi="仿宋"/>
          <w:szCs w:val="30"/>
        </w:rPr>
        <w:t>5</w:t>
      </w:r>
      <w:r>
        <w:rPr>
          <w:rFonts w:ascii="仿宋" w:hAnsi="仿宋"/>
          <w:szCs w:val="30"/>
        </w:rPr>
        <w:t>.</w:t>
      </w:r>
      <w:r>
        <w:rPr>
          <w:rFonts w:hint="eastAsia" w:ascii="仿宋" w:hAnsi="仿宋"/>
          <w:szCs w:val="30"/>
        </w:rPr>
        <w:t>申报企业</w:t>
      </w:r>
      <w:r>
        <w:rPr>
          <w:rFonts w:ascii="仿宋" w:hAnsi="仿宋"/>
          <w:szCs w:val="30"/>
        </w:rPr>
        <w:t>应遵守</w:t>
      </w:r>
      <w:r>
        <w:rPr>
          <w:rFonts w:hint="eastAsia" w:ascii="仿宋" w:hAnsi="仿宋"/>
          <w:szCs w:val="30"/>
        </w:rPr>
        <w:t>包括但不限于</w:t>
      </w:r>
      <w:r>
        <w:rPr>
          <w:rFonts w:ascii="仿宋" w:hAnsi="仿宋"/>
          <w:szCs w:val="30"/>
        </w:rPr>
        <w:t>《</w:t>
      </w:r>
      <w:r>
        <w:rPr>
          <w:rFonts w:hint="eastAsia" w:ascii="仿宋" w:hAnsi="仿宋"/>
          <w:szCs w:val="30"/>
        </w:rPr>
        <w:t>中华人民共和国</w:t>
      </w:r>
      <w:r>
        <w:rPr>
          <w:rFonts w:ascii="仿宋" w:hAnsi="仿宋"/>
          <w:szCs w:val="30"/>
        </w:rPr>
        <w:t>专利法》《</w:t>
      </w:r>
      <w:r>
        <w:rPr>
          <w:rFonts w:hint="eastAsia" w:ascii="仿宋" w:hAnsi="仿宋"/>
          <w:szCs w:val="30"/>
        </w:rPr>
        <w:t>中华人民共和国</w:t>
      </w:r>
      <w:r>
        <w:rPr>
          <w:rFonts w:ascii="仿宋" w:hAnsi="仿宋"/>
          <w:szCs w:val="30"/>
        </w:rPr>
        <w:t>反不正当竞争法》</w:t>
      </w:r>
      <w:r>
        <w:rPr>
          <w:rFonts w:hint="eastAsia" w:ascii="仿宋" w:hAnsi="仿宋"/>
          <w:szCs w:val="30"/>
        </w:rPr>
        <w:t>《中华人民共和国反垄断法》《中华人民共和国药品管理法》</w:t>
      </w:r>
      <w:r>
        <w:rPr>
          <w:rFonts w:ascii="仿宋" w:hAnsi="仿宋"/>
          <w:szCs w:val="30"/>
        </w:rPr>
        <w:t>等相关法律法规</w:t>
      </w:r>
      <w:r>
        <w:rPr>
          <w:rFonts w:hint="eastAsia" w:ascii="仿宋" w:hAnsi="仿宋"/>
          <w:szCs w:val="30"/>
        </w:rPr>
        <w:t>，</w:t>
      </w:r>
      <w:r>
        <w:rPr>
          <w:rFonts w:ascii="仿宋" w:hAnsi="仿宋"/>
          <w:szCs w:val="30"/>
        </w:rPr>
        <w:t>并承担相应法律责任</w:t>
      </w:r>
      <w:r>
        <w:rPr>
          <w:rFonts w:hint="eastAsia" w:ascii="仿宋" w:hAnsi="仿宋"/>
          <w:szCs w:val="30"/>
        </w:rPr>
        <w:t>。</w:t>
      </w:r>
    </w:p>
    <w:p>
      <w:pPr>
        <w:pStyle w:val="3"/>
        <w:ind w:firstLine="600"/>
      </w:pPr>
      <w:bookmarkStart w:id="10" w:name="_Toc8704"/>
      <w:bookmarkStart w:id="11" w:name="_Toc87954542"/>
      <w:r>
        <w:rPr>
          <w:rFonts w:hint="eastAsia"/>
        </w:rPr>
        <w:t>四、申报材料递交时间和地点</w:t>
      </w:r>
      <w:bookmarkEnd w:id="10"/>
      <w:bookmarkEnd w:id="11"/>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s="宋体"/>
          <w:b/>
          <w:bCs/>
          <w:color w:val="000000"/>
          <w:sz w:val="32"/>
          <w:szCs w:val="27"/>
        </w:rPr>
      </w:pPr>
      <w:r>
        <w:rPr>
          <w:rFonts w:hint="eastAsia" w:ascii="仿宋" w:hAnsi="仿宋" w:eastAsia="仿宋" w:cs="宋体"/>
          <w:b w:val="0"/>
          <w:bCs w:val="0"/>
          <w:color w:val="000000"/>
          <w:sz w:val="32"/>
          <w:szCs w:val="27"/>
        </w:rPr>
        <w:t>（一）申报时间</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olor w:val="auto"/>
          <w:sz w:val="32"/>
          <w:szCs w:val="27"/>
          <w:shd w:val="clear" w:color="auto" w:fill="FFFFFF"/>
        </w:rPr>
      </w:pPr>
      <w:r>
        <w:rPr>
          <w:rFonts w:hint="eastAsia" w:ascii="仿宋" w:hAnsi="仿宋" w:eastAsia="仿宋"/>
          <w:color w:val="auto"/>
          <w:sz w:val="32"/>
          <w:szCs w:val="27"/>
          <w:shd w:val="clear" w:color="auto" w:fill="FFFFFF"/>
        </w:rPr>
        <w:t>2024年</w:t>
      </w:r>
      <w:r>
        <w:rPr>
          <w:rFonts w:hint="eastAsia" w:ascii="仿宋" w:hAnsi="仿宋" w:eastAsia="仿宋"/>
          <w:color w:val="auto"/>
          <w:sz w:val="32"/>
          <w:szCs w:val="27"/>
          <w:shd w:val="clear" w:color="auto" w:fill="FFFFFF"/>
          <w:lang w:val="en-US" w:eastAsia="zh-CN"/>
        </w:rPr>
        <w:t>10</w:t>
      </w:r>
      <w:r>
        <w:rPr>
          <w:rFonts w:hint="eastAsia" w:ascii="仿宋" w:hAnsi="仿宋" w:eastAsia="仿宋"/>
          <w:color w:val="auto"/>
          <w:sz w:val="32"/>
          <w:szCs w:val="27"/>
          <w:shd w:val="clear" w:color="auto" w:fill="FFFFFF"/>
        </w:rPr>
        <w:t>月</w:t>
      </w:r>
      <w:r>
        <w:rPr>
          <w:rFonts w:hint="eastAsia" w:ascii="仿宋" w:hAnsi="仿宋" w:eastAsia="仿宋"/>
          <w:color w:val="auto"/>
          <w:sz w:val="32"/>
          <w:szCs w:val="27"/>
          <w:shd w:val="clear" w:color="auto" w:fill="FFFFFF"/>
          <w:lang w:val="en-US" w:eastAsia="zh-CN"/>
        </w:rPr>
        <w:t>15</w:t>
      </w:r>
      <w:r>
        <w:rPr>
          <w:rFonts w:hint="eastAsia" w:ascii="仿宋" w:hAnsi="仿宋" w:eastAsia="仿宋"/>
          <w:color w:val="auto"/>
          <w:sz w:val="32"/>
          <w:szCs w:val="27"/>
          <w:shd w:val="clear" w:color="auto" w:fill="FFFFFF"/>
        </w:rPr>
        <w:t>日</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olor w:val="000000"/>
          <w:sz w:val="32"/>
          <w:szCs w:val="27"/>
          <w:shd w:val="clear" w:color="auto" w:fill="FFFFFF"/>
        </w:rPr>
      </w:pPr>
      <w:r>
        <w:rPr>
          <w:rFonts w:hint="eastAsia" w:ascii="仿宋" w:hAnsi="仿宋" w:eastAsia="仿宋"/>
          <w:color w:val="000000"/>
          <w:sz w:val="32"/>
          <w:szCs w:val="27"/>
          <w:shd w:val="clear" w:color="auto" w:fill="FFFFFF"/>
        </w:rPr>
        <w:t>上午9：00-11:30    下午13:30-17:00</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ascii="仿宋" w:hAnsi="仿宋" w:eastAsia="仿宋" w:cs="宋体"/>
          <w:b w:val="0"/>
          <w:bCs w:val="0"/>
          <w:color w:val="000000"/>
          <w:sz w:val="32"/>
          <w:szCs w:val="27"/>
        </w:rPr>
      </w:pPr>
      <w:r>
        <w:rPr>
          <w:rFonts w:hint="eastAsia" w:ascii="仿宋" w:hAnsi="仿宋" w:eastAsia="仿宋" w:cs="宋体"/>
          <w:b w:val="0"/>
          <w:bCs w:val="0"/>
          <w:color w:val="000000"/>
          <w:sz w:val="32"/>
          <w:szCs w:val="27"/>
        </w:rPr>
        <w:t>（二）申报地点</w:t>
      </w:r>
    </w:p>
    <w:p>
      <w:pPr>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640" w:firstLineChars="200"/>
        <w:jc w:val="both"/>
        <w:textAlignment w:val="auto"/>
        <w:rPr>
          <w:rFonts w:hint="eastAsia"/>
        </w:rPr>
      </w:pPr>
      <w:r>
        <w:rPr>
          <w:rFonts w:hint="eastAsia" w:ascii="仿宋" w:hAnsi="仿宋" w:eastAsia="仿宋"/>
          <w:color w:val="000000"/>
          <w:sz w:val="32"/>
          <w:szCs w:val="27"/>
          <w:shd w:val="clear" w:color="auto" w:fill="FFFFFF"/>
        </w:rPr>
        <w:t>西安市碑林区长安北路14号陕西省公共资源交易中心一楼受理大厅</w:t>
      </w:r>
    </w:p>
    <w:p>
      <w:pPr>
        <w:pStyle w:val="3"/>
        <w:ind w:firstLine="600"/>
      </w:pPr>
      <w:bookmarkStart w:id="12" w:name="_Toc87954543"/>
      <w:bookmarkStart w:id="13" w:name="_Toc26728"/>
      <w:bookmarkStart w:id="14" w:name="_Toc4254"/>
      <w:r>
        <w:rPr>
          <w:rFonts w:hint="eastAsia"/>
        </w:rPr>
        <w:t>五、申报信息公开时间和地点</w:t>
      </w:r>
      <w:bookmarkEnd w:id="12"/>
      <w:bookmarkEnd w:id="13"/>
    </w:p>
    <w:p>
      <w:pPr>
        <w:ind w:firstLine="600"/>
        <w:rPr>
          <w:rFonts w:hint="eastAsia"/>
        </w:rPr>
      </w:pPr>
      <w:r>
        <w:rPr>
          <w:rFonts w:hint="eastAsia"/>
        </w:rPr>
        <w:t>另行通知。</w:t>
      </w:r>
    </w:p>
    <w:bookmarkEnd w:id="14"/>
    <w:p>
      <w:pPr>
        <w:pStyle w:val="3"/>
        <w:ind w:firstLine="600"/>
      </w:pPr>
      <w:bookmarkStart w:id="15" w:name="_Toc24445"/>
      <w:bookmarkStart w:id="16" w:name="_Toc8054"/>
      <w:r>
        <w:rPr>
          <w:rFonts w:hint="eastAsia"/>
        </w:rPr>
        <w:t>六、</w:t>
      </w:r>
      <w:bookmarkEnd w:id="15"/>
      <w:r>
        <w:rPr>
          <w:rFonts w:hint="eastAsia"/>
        </w:rPr>
        <w:t>咨询电话</w:t>
      </w:r>
      <w:bookmarkEnd w:id="16"/>
    </w:p>
    <w:p>
      <w:pPr>
        <w:ind w:firstLine="600"/>
        <w:rPr>
          <w:rFonts w:hint="eastAsia" w:ascii="仿宋" w:hAnsi="仿宋"/>
          <w:szCs w:val="30"/>
        </w:rPr>
      </w:pPr>
      <w:r>
        <w:rPr>
          <w:rFonts w:hint="eastAsia" w:ascii="仿宋" w:hAnsi="仿宋"/>
          <w:szCs w:val="30"/>
        </w:rPr>
        <w:t>电话：029-88661311（周一、周三下午14时至17时）</w:t>
      </w:r>
    </w:p>
    <w:p>
      <w:pPr>
        <w:pStyle w:val="3"/>
        <w:ind w:firstLine="600"/>
      </w:pPr>
      <w:bookmarkStart w:id="17" w:name="_Toc28009"/>
      <w:bookmarkStart w:id="18" w:name="_Toc12843"/>
      <w:r>
        <w:rPr>
          <w:rFonts w:hint="eastAsia"/>
        </w:rPr>
        <w:t>七、</w:t>
      </w:r>
      <w:bookmarkEnd w:id="17"/>
      <w:r>
        <w:rPr>
          <w:rFonts w:hint="eastAsia"/>
        </w:rPr>
        <w:t>其他</w:t>
      </w:r>
      <w:bookmarkEnd w:id="18"/>
    </w:p>
    <w:p>
      <w:pPr>
        <w:ind w:firstLine="600"/>
      </w:pPr>
      <w:r>
        <w:rPr>
          <w:rFonts w:hint="eastAsia"/>
        </w:rPr>
        <w:t>陕西省公共资源交易中心已通过自我审查的方式开展公平竞争审查，本次药品集中采购文件不具有排除、限制竞争效果。</w:t>
      </w:r>
    </w:p>
    <w:p>
      <w:pPr>
        <w:ind w:firstLine="600"/>
      </w:pPr>
    </w:p>
    <w:p>
      <w:pPr>
        <w:spacing w:after="160"/>
        <w:ind w:firstLine="0" w:firstLineChars="0"/>
        <w:jc w:val="center"/>
        <w:rPr>
          <w:rFonts w:hint="eastAsia" w:ascii="仿宋" w:hAnsi="仿宋" w:cs="黑体"/>
          <w:spacing w:val="-20"/>
          <w:szCs w:val="30"/>
        </w:rPr>
      </w:pPr>
      <w:r>
        <w:rPr>
          <w:rFonts w:ascii="仿宋" w:hAnsi="仿宋"/>
          <w:szCs w:val="30"/>
        </w:rPr>
        <w:br w:type="page"/>
      </w:r>
      <w:bookmarkStart w:id="19" w:name="_Toc3680"/>
      <w:bookmarkStart w:id="20" w:name="_Toc31109"/>
      <w:r>
        <w:rPr>
          <w:rStyle w:val="42"/>
          <w:rFonts w:hint="eastAsia" w:ascii="仿宋" w:hAnsi="仿宋"/>
          <w:szCs w:val="22"/>
        </w:rPr>
        <w:t>第二部分 申报企业须知</w:t>
      </w:r>
      <w:bookmarkEnd w:id="19"/>
      <w:bookmarkEnd w:id="20"/>
    </w:p>
    <w:p>
      <w:pPr>
        <w:pStyle w:val="3"/>
        <w:ind w:firstLine="600"/>
      </w:pPr>
      <w:bookmarkStart w:id="21" w:name="_Toc25891"/>
      <w:bookmarkStart w:id="22" w:name="_Toc18675"/>
      <w:r>
        <w:rPr>
          <w:rFonts w:hint="eastAsia"/>
        </w:rPr>
        <w:t>一、</w:t>
      </w:r>
      <w:bookmarkEnd w:id="21"/>
      <w:r>
        <w:rPr>
          <w:rFonts w:hint="eastAsia"/>
        </w:rPr>
        <w:t>申报条件及要求</w:t>
      </w:r>
      <w:bookmarkEnd w:id="22"/>
    </w:p>
    <w:p>
      <w:pPr>
        <w:pStyle w:val="15"/>
        <w:spacing w:line="560" w:lineRule="exact"/>
        <w:ind w:right="0" w:firstLine="600" w:firstLineChars="200"/>
        <w:rPr>
          <w:rFonts w:hint="eastAsia" w:ascii="仿宋" w:hAnsi="仿宋" w:eastAsia="仿宋"/>
          <w:spacing w:val="0"/>
          <w:sz w:val="30"/>
          <w:szCs w:val="30"/>
        </w:rPr>
      </w:pPr>
      <w:bookmarkStart w:id="23" w:name="_Toc5548"/>
      <w:r>
        <w:rPr>
          <w:rFonts w:hint="eastAsia" w:ascii="仿宋" w:hAnsi="仿宋" w:eastAsia="仿宋"/>
          <w:spacing w:val="0"/>
          <w:sz w:val="30"/>
          <w:szCs w:val="30"/>
        </w:rPr>
        <w:t>（一）企业申报</w:t>
      </w:r>
      <w:bookmarkEnd w:id="23"/>
      <w:r>
        <w:rPr>
          <w:rFonts w:hint="eastAsia" w:ascii="仿宋" w:hAnsi="仿宋" w:eastAsia="仿宋"/>
          <w:spacing w:val="0"/>
          <w:sz w:val="30"/>
          <w:szCs w:val="30"/>
        </w:rPr>
        <w:t>条件：</w:t>
      </w:r>
    </w:p>
    <w:p>
      <w:pPr>
        <w:snapToGrid w:val="0"/>
        <w:ind w:firstLine="600"/>
        <w:rPr>
          <w:rFonts w:hint="eastAsia" w:ascii="仿宋" w:hAnsi="仿宋"/>
          <w:szCs w:val="30"/>
        </w:rPr>
      </w:pPr>
      <w:r>
        <w:rPr>
          <w:rFonts w:hint="eastAsia" w:ascii="仿宋" w:hAnsi="仿宋"/>
          <w:szCs w:val="30"/>
        </w:rPr>
        <w:t>1</w:t>
      </w:r>
      <w:r>
        <w:rPr>
          <w:rFonts w:ascii="仿宋" w:hAnsi="仿宋"/>
          <w:szCs w:val="30"/>
        </w:rPr>
        <w:t>.</w:t>
      </w:r>
      <w:r>
        <w:rPr>
          <w:rFonts w:hint="eastAsia" w:ascii="仿宋" w:hAnsi="仿宋"/>
          <w:szCs w:val="30"/>
        </w:rPr>
        <w:t>具有履行协议必须具备的能力；</w:t>
      </w:r>
    </w:p>
    <w:p>
      <w:pPr>
        <w:snapToGrid w:val="0"/>
        <w:ind w:firstLine="600"/>
        <w:rPr>
          <w:rFonts w:hint="eastAsia" w:ascii="仿宋" w:hAnsi="仿宋"/>
          <w:szCs w:val="30"/>
        </w:rPr>
      </w:pPr>
      <w:r>
        <w:rPr>
          <w:rFonts w:hint="eastAsia" w:ascii="仿宋" w:hAnsi="仿宋"/>
          <w:szCs w:val="30"/>
        </w:rPr>
        <w:t>2.必须对药品的质量供应负责。一旦中选，作为保障供应的第一责任人，应及时足量按要求组织生产，并向配送企业发送药品，满足医药机构临床用药需求。</w:t>
      </w:r>
    </w:p>
    <w:p>
      <w:pPr>
        <w:snapToGrid w:val="0"/>
        <w:ind w:firstLine="600"/>
        <w:rPr>
          <w:rFonts w:hint="eastAsia" w:ascii="仿宋" w:hAnsi="仿宋"/>
          <w:szCs w:val="30"/>
        </w:rPr>
      </w:pPr>
      <w:r>
        <w:rPr>
          <w:rFonts w:hint="eastAsia" w:ascii="仿宋" w:hAnsi="仿宋"/>
          <w:szCs w:val="30"/>
        </w:rPr>
        <w:t>3.应按照采购文件的要求编制申报材料，做出响应。</w:t>
      </w:r>
    </w:p>
    <w:p>
      <w:pPr>
        <w:pStyle w:val="15"/>
        <w:spacing w:line="560" w:lineRule="exact"/>
        <w:ind w:right="0" w:firstLine="616" w:firstLineChars="200"/>
        <w:rPr>
          <w:rFonts w:hint="eastAsia" w:ascii="仿宋" w:hAnsi="仿宋" w:eastAsia="仿宋"/>
          <w:sz w:val="30"/>
          <w:szCs w:val="30"/>
        </w:rPr>
      </w:pPr>
      <w:bookmarkStart w:id="24" w:name="_Toc10134"/>
      <w:r>
        <w:rPr>
          <w:rFonts w:hint="eastAsia" w:ascii="仿宋" w:hAnsi="仿宋" w:eastAsia="仿宋"/>
          <w:sz w:val="30"/>
          <w:szCs w:val="30"/>
        </w:rPr>
        <w:t>（二）企业申报要求</w:t>
      </w:r>
      <w:bookmarkEnd w:id="24"/>
    </w:p>
    <w:p>
      <w:pPr>
        <w:snapToGrid w:val="0"/>
        <w:ind w:firstLine="600"/>
        <w:rPr>
          <w:rFonts w:hint="eastAsia" w:ascii="仿宋" w:hAnsi="仿宋"/>
          <w:szCs w:val="30"/>
        </w:rPr>
      </w:pPr>
      <w:r>
        <w:rPr>
          <w:rFonts w:hint="eastAsia" w:ascii="仿宋" w:hAnsi="仿宋"/>
          <w:szCs w:val="30"/>
        </w:rPr>
        <w:t>1</w:t>
      </w:r>
      <w:r>
        <w:rPr>
          <w:rFonts w:ascii="仿宋" w:hAnsi="仿宋"/>
          <w:szCs w:val="30"/>
        </w:rPr>
        <w:t>.</w:t>
      </w:r>
      <w:r>
        <w:rPr>
          <w:rFonts w:hint="eastAsia" w:ascii="仿宋" w:hAnsi="仿宋"/>
          <w:szCs w:val="30"/>
        </w:rPr>
        <w:t>“供应品种清单”应包含采购品种目录内本企业选择供应的所有符合申报品种资格的规格和包装，同目录下企业最多可申报3个包装（注射剂仅申报单支），且应为临床常用包装并均确保满足供应。</w:t>
      </w:r>
    </w:p>
    <w:p>
      <w:pPr>
        <w:snapToGrid w:val="0"/>
        <w:ind w:firstLine="600"/>
        <w:rPr>
          <w:rFonts w:hint="eastAsia" w:ascii="仿宋" w:hAnsi="仿宋"/>
          <w:szCs w:val="30"/>
        </w:rPr>
      </w:pPr>
      <w:r>
        <w:rPr>
          <w:rFonts w:hint="eastAsia" w:ascii="仿宋" w:hAnsi="仿宋"/>
          <w:szCs w:val="30"/>
        </w:rPr>
        <w:t>2.申报同品种的不同企业存在以下情形的，所有涉及企业均须提前填报企业关联关系申报表，并进行公示，存在不如实申报的，一经查实，取消所有涉及企业申报或拟中选资格。</w:t>
      </w:r>
    </w:p>
    <w:p>
      <w:pPr>
        <w:snapToGrid w:val="0"/>
        <w:ind w:firstLine="600"/>
        <w:rPr>
          <w:rFonts w:hint="eastAsia" w:ascii="仿宋" w:hAnsi="仿宋"/>
          <w:szCs w:val="30"/>
        </w:rPr>
      </w:pPr>
      <w:r>
        <w:rPr>
          <w:rFonts w:hint="eastAsia" w:ascii="仿宋" w:hAnsi="仿宋"/>
          <w:szCs w:val="30"/>
        </w:rPr>
        <w:t>（1）企业负责人为同一人或存在直接控股、管理关系等情形;</w:t>
      </w:r>
    </w:p>
    <w:p>
      <w:pPr>
        <w:snapToGrid w:val="0"/>
        <w:ind w:firstLine="600"/>
        <w:rPr>
          <w:rFonts w:hint="eastAsia" w:ascii="仿宋" w:hAnsi="仿宋"/>
          <w:szCs w:val="30"/>
        </w:rPr>
      </w:pPr>
      <w:r>
        <w:rPr>
          <w:rFonts w:hint="eastAsia" w:ascii="仿宋" w:hAnsi="仿宋"/>
          <w:szCs w:val="30"/>
        </w:rPr>
        <w:t xml:space="preserve">（2）包括但不限于工业和信息化部最新《中国医药统计年报》化学制药分册中“化学药品工业企业单位隶属关系后注”确认的企业关系的情形，以及药品注册批件来源于同一家企业的情形（有相关文件证明企业间关系已改变的情况除外）； </w:t>
      </w:r>
    </w:p>
    <w:p>
      <w:pPr>
        <w:snapToGrid w:val="0"/>
        <w:ind w:firstLine="600"/>
        <w:rPr>
          <w:rFonts w:hint="eastAsia" w:ascii="仿宋" w:hAnsi="仿宋"/>
          <w:szCs w:val="30"/>
        </w:rPr>
      </w:pPr>
      <w:r>
        <w:rPr>
          <w:rFonts w:hint="eastAsia" w:ascii="仿宋" w:hAnsi="仿宋"/>
          <w:szCs w:val="30"/>
        </w:rPr>
        <w:t>（3）企业之间存在该品种部分有效注册批件转让的情形；</w:t>
      </w:r>
    </w:p>
    <w:p>
      <w:pPr>
        <w:snapToGrid w:val="0"/>
        <w:ind w:firstLine="600"/>
        <w:rPr>
          <w:rFonts w:hint="eastAsia" w:ascii="仿宋" w:hAnsi="仿宋"/>
          <w:szCs w:val="30"/>
        </w:rPr>
      </w:pPr>
      <w:r>
        <w:rPr>
          <w:rFonts w:hint="eastAsia" w:ascii="仿宋" w:hAnsi="仿宋"/>
          <w:szCs w:val="30"/>
        </w:rPr>
        <w:t>（4）企业之间就该品种存在境外药品上市许可持有人境内代理人关系的情形。</w:t>
      </w:r>
    </w:p>
    <w:p>
      <w:pPr>
        <w:snapToGrid w:val="0"/>
        <w:ind w:firstLine="600"/>
        <w:rPr>
          <w:rFonts w:hint="eastAsia" w:ascii="仿宋" w:hAnsi="仿宋"/>
          <w:szCs w:val="30"/>
        </w:rPr>
      </w:pPr>
      <w:r>
        <w:rPr>
          <w:rFonts w:hint="eastAsia" w:ascii="仿宋" w:hAnsi="仿宋"/>
          <w:szCs w:val="30"/>
        </w:rPr>
        <w:t>3.对不满足申报条件要求，或涉嫌不如实提供证明材料的，一经查实，取消其申报资格。</w:t>
      </w:r>
    </w:p>
    <w:p>
      <w:pPr>
        <w:snapToGrid w:val="0"/>
        <w:ind w:firstLine="600"/>
        <w:rPr>
          <w:rFonts w:hint="eastAsia" w:ascii="仿宋" w:hAnsi="仿宋"/>
          <w:szCs w:val="30"/>
        </w:rPr>
      </w:pPr>
      <w:r>
        <w:rPr>
          <w:rFonts w:hint="eastAsia" w:ascii="仿宋" w:hAnsi="仿宋"/>
          <w:szCs w:val="30"/>
        </w:rPr>
        <w:t>4.申报企业中选后，须按医保部门要求签订购销协议。中选药品在履行协议中如遇国家</w:t>
      </w:r>
      <w:r>
        <w:rPr>
          <w:rFonts w:ascii="仿宋" w:hAnsi="仿宋"/>
          <w:szCs w:val="30"/>
        </w:rPr>
        <w:t>政策调整或</w:t>
      </w:r>
      <w:r>
        <w:rPr>
          <w:rFonts w:hint="eastAsia" w:ascii="仿宋" w:hAnsi="仿宋"/>
          <w:szCs w:val="30"/>
        </w:rPr>
        <w:t>不可抗力，致使直接影响协议履行的，由签订购销协议中的各方协商解决。</w:t>
      </w:r>
    </w:p>
    <w:p>
      <w:pPr>
        <w:snapToGrid w:val="0"/>
        <w:ind w:firstLine="600"/>
        <w:rPr>
          <w:rFonts w:hint="eastAsia" w:ascii="仿宋" w:hAnsi="仿宋"/>
          <w:szCs w:val="30"/>
        </w:rPr>
      </w:pPr>
      <w:r>
        <w:rPr>
          <w:rFonts w:hint="eastAsia" w:ascii="仿宋" w:hAnsi="仿宋"/>
          <w:szCs w:val="30"/>
        </w:rPr>
        <w:t>5.申报材料中涉及到的证书、证明材料等，必须在申报信息公开当日仍在有效期内。</w:t>
      </w:r>
    </w:p>
    <w:p>
      <w:pPr>
        <w:pStyle w:val="3"/>
        <w:ind w:firstLine="600"/>
      </w:pPr>
      <w:bookmarkStart w:id="25" w:name="_Toc18202"/>
      <w:r>
        <w:rPr>
          <w:rFonts w:hint="eastAsia"/>
        </w:rPr>
        <w:t>二、分组规则及拟中选企业确定</w:t>
      </w:r>
      <w:bookmarkEnd w:id="25"/>
    </w:p>
    <w:p>
      <w:pPr>
        <w:ind w:firstLine="600"/>
        <w:rPr>
          <w:rFonts w:ascii="仿宋" w:hAnsi="仿宋"/>
          <w:szCs w:val="30"/>
        </w:rPr>
      </w:pPr>
      <w:r>
        <w:rPr>
          <w:rFonts w:hint="eastAsia" w:ascii="仿宋" w:hAnsi="仿宋"/>
          <w:szCs w:val="30"/>
        </w:rPr>
        <w:t>为保障质量和供应，坚持公平竞争，带量采购，以量换价的原则，以本次带量采购品种规格为评分单位，采取区分质量分组、经济技术标和商务标综合评分的方法，遴选入围品种。</w:t>
      </w:r>
    </w:p>
    <w:p>
      <w:pPr>
        <w:ind w:firstLine="600"/>
        <w:rPr>
          <w:rFonts w:hint="eastAsia" w:ascii="仿宋" w:hAnsi="仿宋"/>
          <w:szCs w:val="30"/>
        </w:rPr>
      </w:pPr>
      <w:r>
        <w:rPr>
          <w:rFonts w:hint="eastAsia" w:ascii="仿宋" w:hAnsi="仿宋"/>
          <w:szCs w:val="30"/>
        </w:rPr>
        <w:t>（一）分组规则</w:t>
      </w:r>
    </w:p>
    <w:p>
      <w:pPr>
        <w:pStyle w:val="27"/>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此次集中采购根据投标品种的相关资质分为A、B两组，分别竞争。于2024年</w:t>
      </w:r>
      <w:r>
        <w:rPr>
          <w:rFonts w:hint="eastAsia" w:ascii="仿宋" w:hAnsi="仿宋" w:eastAsia="仿宋" w:cs="Times New Roman"/>
          <w:color w:val="auto"/>
          <w:kern w:val="2"/>
          <w:sz w:val="30"/>
          <w:szCs w:val="30"/>
          <w:lang w:val="en-US" w:eastAsia="zh-CN"/>
        </w:rPr>
        <w:t>8</w:t>
      </w:r>
      <w:r>
        <w:rPr>
          <w:rFonts w:hint="eastAsia" w:ascii="仿宋" w:hAnsi="仿宋" w:eastAsia="仿宋" w:cs="Times New Roman"/>
          <w:color w:val="auto"/>
          <w:kern w:val="2"/>
          <w:sz w:val="30"/>
          <w:szCs w:val="30"/>
        </w:rPr>
        <w:t>月</w:t>
      </w:r>
      <w:r>
        <w:rPr>
          <w:rFonts w:hint="eastAsia" w:ascii="仿宋" w:hAnsi="仿宋" w:eastAsia="仿宋" w:cs="Times New Roman"/>
          <w:color w:val="auto"/>
          <w:kern w:val="2"/>
          <w:sz w:val="30"/>
          <w:szCs w:val="30"/>
          <w:lang w:val="en-US" w:eastAsia="zh-CN"/>
        </w:rPr>
        <w:t>13</w:t>
      </w:r>
      <w:r>
        <w:rPr>
          <w:rFonts w:hint="eastAsia" w:ascii="仿宋" w:hAnsi="仿宋" w:eastAsia="仿宋" w:cs="Times New Roman"/>
          <w:color w:val="auto"/>
          <w:kern w:val="2"/>
          <w:sz w:val="30"/>
          <w:szCs w:val="30"/>
        </w:rPr>
        <w:t>日（含）前获得国内有效注册批件且满足以下要求之一的上市药品，应具备相应批件或可在国家药品监督管理局药品评审中心《化学药品目录集》中查询到相应结果的为A组，其他药品列为B组。</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1.原研药、国家药品监督管理部门发布的仿制药质量和疗效一致性评价参比制剂；</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2.通过国家药品监督管理部门仿制药质量和疗效一致性评价的仿制药；</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3.根据《国家食品药品监督管理总局关于发布化学药品注册分类改革工作方案的公告》</w:t>
      </w:r>
      <w:r>
        <w:rPr>
          <w:rFonts w:ascii="仿宋" w:hAnsi="仿宋" w:eastAsia="仿宋" w:cs="Times New Roman"/>
          <w:color w:val="auto"/>
          <w:kern w:val="2"/>
          <w:sz w:val="30"/>
          <w:szCs w:val="30"/>
        </w:rPr>
        <w:t>〔</w:t>
      </w:r>
      <w:r>
        <w:rPr>
          <w:rFonts w:hint="eastAsia" w:ascii="仿宋" w:hAnsi="仿宋" w:eastAsia="仿宋" w:cs="Times New Roman"/>
          <w:color w:val="auto"/>
          <w:kern w:val="2"/>
          <w:sz w:val="30"/>
          <w:szCs w:val="30"/>
        </w:rPr>
        <w:t>2016年第51号〕或《国家药监局关于发布化学药品注册分类及申报资料要求的通告》</w:t>
      </w:r>
      <w:r>
        <w:rPr>
          <w:rFonts w:ascii="仿宋" w:hAnsi="仿宋" w:eastAsia="仿宋" w:cs="Times New Roman"/>
          <w:color w:val="auto"/>
          <w:kern w:val="2"/>
          <w:sz w:val="30"/>
          <w:szCs w:val="30"/>
        </w:rPr>
        <w:t>〔</w:t>
      </w:r>
      <w:r>
        <w:rPr>
          <w:rFonts w:hint="eastAsia" w:ascii="仿宋" w:hAnsi="仿宋" w:eastAsia="仿宋" w:cs="Times New Roman"/>
          <w:color w:val="auto"/>
          <w:kern w:val="2"/>
          <w:sz w:val="30"/>
          <w:szCs w:val="30"/>
        </w:rPr>
        <w:t>2020年第44号〕，按化学药品注册分类批准，并证明质量和疗效与参比制剂一致的仿制药品。</w:t>
      </w:r>
    </w:p>
    <w:p>
      <w:pPr>
        <w:ind w:firstLine="600"/>
        <w:rPr>
          <w:rFonts w:ascii="仿宋" w:hAnsi="仿宋"/>
          <w:szCs w:val="30"/>
        </w:rPr>
      </w:pPr>
      <w:r>
        <w:rPr>
          <w:rFonts w:hint="eastAsia" w:ascii="仿宋" w:hAnsi="仿宋"/>
          <w:szCs w:val="30"/>
        </w:rPr>
        <w:t>A、B两组分别进行报价、综合评审。符合A组条件的品种自愿申报列入B组的，企业经济技术标得满分。</w:t>
      </w:r>
    </w:p>
    <w:p>
      <w:pPr>
        <w:ind w:firstLine="600"/>
        <w:rPr>
          <w:rFonts w:ascii="仿宋" w:hAnsi="仿宋"/>
          <w:szCs w:val="30"/>
        </w:rPr>
      </w:pPr>
      <w:r>
        <w:rPr>
          <w:rFonts w:hint="eastAsia" w:ascii="仿宋" w:hAnsi="仿宋"/>
          <w:szCs w:val="30"/>
        </w:rPr>
        <w:t>（二）拟中选企业确定</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val="en-US" w:bidi="ar-SA"/>
        </w:rPr>
        <w:t>1.</w:t>
      </w:r>
      <w:r>
        <w:rPr>
          <w:rFonts w:hint="eastAsia" w:cs="Times New Roman"/>
          <w:kern w:val="2"/>
          <w:sz w:val="30"/>
          <w:szCs w:val="30"/>
          <w:lang w:bidi="ar-SA"/>
        </w:rPr>
        <w:t>同组有效报价企业只有1家的，按以下类型开展评审：</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类型一：外省已有集采中选价格的，企业报价不高于本企业外省集采最低中选价格，即可确定为拟中选产品。</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类型二：外省无集采中选价格的，企业报价降幅达到10%，且满足以下任一条件，方可确定为拟中选产品。</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val="en-US" w:bidi="ar-SA"/>
        </w:rPr>
        <w:t>1.1</w:t>
      </w:r>
      <w:r>
        <w:rPr>
          <w:rFonts w:hint="eastAsia" w:cs="Times New Roman"/>
          <w:kern w:val="2"/>
          <w:sz w:val="30"/>
          <w:szCs w:val="30"/>
          <w:lang w:bidi="ar-SA"/>
        </w:rPr>
        <w:t>报价降幅达到所有拟中选产品平均降幅及以上或同品种另一组拟中选药品平均降幅及以上的；</w:t>
      </w:r>
    </w:p>
    <w:p>
      <w:pPr>
        <w:pStyle w:val="47"/>
        <w:snapToGrid w:val="0"/>
        <w:spacing w:line="560" w:lineRule="exact"/>
        <w:ind w:left="0" w:firstLine="600" w:firstLineChars="200"/>
        <w:jc w:val="both"/>
        <w:rPr>
          <w:rFonts w:hint="eastAsia" w:cs="Times New Roman"/>
          <w:kern w:val="2"/>
          <w:sz w:val="30"/>
          <w:szCs w:val="30"/>
          <w:lang w:val="en-US" w:bidi="ar-SA"/>
        </w:rPr>
      </w:pPr>
      <w:r>
        <w:rPr>
          <w:rFonts w:hint="eastAsia" w:cs="Times New Roman"/>
          <w:kern w:val="2"/>
          <w:sz w:val="30"/>
          <w:szCs w:val="30"/>
          <w:lang w:bidi="ar-SA"/>
        </w:rPr>
        <w:t>1.2报价降幅为所有独家申报企业产品从高到低排名前50%（四舍五入）。如遇最后一名降幅相同，则以平台采购量大的优先；平台采购量相同的，则以企业规模大的优先。</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2.同组有效报价企业2家及以上的，采取综合评审的方式确定拟中选企业。综合评审分为经济技术标和商务标，并根据相应规则进行评分。</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2.1.经济技术标评分规则</w:t>
      </w:r>
    </w:p>
    <w:p>
      <w:pPr>
        <w:tabs>
          <w:tab w:val="left" w:pos="1357"/>
        </w:tabs>
        <w:adjustRightInd w:val="0"/>
        <w:ind w:firstLine="600"/>
        <w:rPr>
          <w:rFonts w:hint="eastAsia" w:ascii="仿宋" w:hAnsi="仿宋"/>
          <w:szCs w:val="30"/>
          <w:lang w:val="zh-CN"/>
        </w:rPr>
      </w:pPr>
      <w:r>
        <w:rPr>
          <w:rFonts w:hint="eastAsia" w:ascii="仿宋" w:hAnsi="仿宋"/>
          <w:szCs w:val="30"/>
          <w:lang w:val="zh-CN"/>
        </w:rPr>
        <w:t>2.1.1经济技术标按照以下规则对企业申报材料进行评审。</w:t>
      </w:r>
    </w:p>
    <w:p>
      <w:pPr>
        <w:tabs>
          <w:tab w:val="left" w:pos="1357"/>
        </w:tabs>
        <w:adjustRightInd w:val="0"/>
        <w:ind w:firstLine="600"/>
        <w:rPr>
          <w:rFonts w:hint="eastAsia" w:ascii="仿宋" w:hAnsi="仿宋"/>
          <w:szCs w:val="30"/>
          <w:lang w:val="zh-CN"/>
        </w:rPr>
      </w:pPr>
    </w:p>
    <w:p>
      <w:pPr>
        <w:tabs>
          <w:tab w:val="left" w:pos="1357"/>
        </w:tabs>
        <w:adjustRightInd w:val="0"/>
        <w:ind w:firstLine="600"/>
        <w:rPr>
          <w:rFonts w:hint="eastAsia" w:ascii="仿宋" w:hAnsi="仿宋"/>
          <w:szCs w:val="30"/>
          <w:lang w:val="zh-CN"/>
        </w:rPr>
      </w:pPr>
    </w:p>
    <w:p>
      <w:pPr>
        <w:tabs>
          <w:tab w:val="left" w:pos="1357"/>
        </w:tabs>
        <w:adjustRightInd w:val="0"/>
        <w:ind w:firstLine="600"/>
        <w:rPr>
          <w:rFonts w:hint="eastAsia" w:ascii="仿宋" w:hAnsi="仿宋"/>
          <w:szCs w:val="30"/>
          <w:lang w:val="zh-CN"/>
        </w:rPr>
      </w:pPr>
    </w:p>
    <w:tbl>
      <w:tblPr>
        <w:tblStyle w:val="20"/>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071"/>
        <w:gridCol w:w="1093"/>
        <w:gridCol w:w="678"/>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1223" w:type="dxa"/>
            <w:noWrap/>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项目</w:t>
            </w: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指标</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分值</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黑体" w:hAnsi="黑体" w:eastAsia="黑体" w:cs="黑体"/>
                <w:sz w:val="21"/>
                <w:szCs w:val="21"/>
              </w:rPr>
            </w:pPr>
            <w:r>
              <w:rPr>
                <w:rFonts w:hint="eastAsia" w:ascii="黑体" w:hAnsi="黑体" w:eastAsia="黑体" w:cs="黑体"/>
                <w:sz w:val="21"/>
                <w:szCs w:val="21"/>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综合评价（53分）</w:t>
            </w: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主要品种产量</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中国医药统计年报（化学册）最新版》主要品种产量排名，有排名的品规，同组第一名得10分，同组其它品种按以下公式进行计算：分值=3分+6分×（产量/同组最高产量）；《中国医药统计年报（化学册）最新版》未收录得3分</w:t>
            </w:r>
            <w:r>
              <w:rPr>
                <w:rFonts w:hint="eastAsia" w:ascii="仿宋_GB2312" w:hAnsi="仿宋_GB2312" w:eastAsia="仿宋_GB2312" w:cs="仿宋_GB2312"/>
                <w:sz w:val="21"/>
                <w:szCs w:val="21"/>
                <w:lang w:eastAsia="zh-CN"/>
              </w:rPr>
              <w:t>，</w:t>
            </w:r>
            <w:r>
              <w:rPr>
                <w:rStyle w:val="46"/>
                <w:rFonts w:hint="eastAsia" w:ascii="仿宋_GB2312" w:hAnsi="仿宋_GB2312" w:eastAsia="仿宋_GB2312" w:cs="仿宋_GB2312"/>
                <w:color w:val="000000"/>
                <w:sz w:val="21"/>
                <w:szCs w:val="21"/>
                <w:highlight w:val="none"/>
              </w:rPr>
              <w:t>得分四舍五入保留小数点后2位</w:t>
            </w:r>
            <w:r>
              <w:rPr>
                <w:rFonts w:hint="eastAsia" w:ascii="仿宋_GB2312" w:hAnsi="仿宋_GB2312" w:eastAsia="仿宋_GB2312" w:cs="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参与药品集中采购情况</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（按申报企业计算）</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每获得1批国家组织药品集中采购中选资格的计1.5分，最高得13.5分。批次以国家集采1至9批计算，4+7试点与试点扩围按国采第1批计算，均中选不重复计分，中选企业以国家联采办公布的中选结果为准。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行业排名</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按照《中国医药统计年报（化学册）最新版》主营业务收入排名，第一名得9.5分，每下降一名扣0.1分；《中国医药统计年报（化学册）最新版》未收录的得4分。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医药机构覆盖情况</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lang w:eastAsia="zh-CN"/>
              </w:rPr>
            </w:pPr>
            <w:r>
              <w:rPr>
                <w:rStyle w:val="46"/>
                <w:rFonts w:hint="eastAsia" w:ascii="仿宋_GB2312" w:hAnsi="仿宋_GB2312" w:eastAsia="仿宋_GB2312" w:cs="仿宋_GB2312"/>
                <w:color w:val="000000"/>
                <w:sz w:val="21"/>
                <w:szCs w:val="21"/>
              </w:rPr>
              <w:t>根据14省医药机构报量情况进行计算，计算方法如下：医药机构报量得分=20</w:t>
            </w:r>
            <w:r>
              <w:rPr>
                <w:rStyle w:val="46"/>
                <w:rFonts w:ascii="Arial" w:hAnsi="Arial" w:eastAsia="仿宋_GB2312" w:cs="Arial"/>
                <w:color w:val="000000"/>
                <w:sz w:val="21"/>
                <w:szCs w:val="21"/>
              </w:rPr>
              <w:t>×</w:t>
            </w:r>
            <w:r>
              <w:rPr>
                <w:rStyle w:val="46"/>
                <w:rFonts w:hint="eastAsia" w:ascii="仿宋_GB2312" w:hAnsi="仿宋_GB2312" w:eastAsia="仿宋_GB2312" w:cs="仿宋_GB2312"/>
                <w:color w:val="000000"/>
                <w:sz w:val="21"/>
                <w:szCs w:val="21"/>
              </w:rPr>
              <w:t>本品种本企业需求量/本品种总需求量，得分四舍五入保留小数点后2位</w:t>
            </w:r>
            <w:r>
              <w:rPr>
                <w:rStyle w:val="46"/>
                <w:rFonts w:hint="eastAsia" w:ascii="仿宋_GB2312" w:hAnsi="仿宋_GB2312" w:eastAsia="仿宋_GB2312" w:cs="仿宋_GB2312"/>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w:t>
            </w:r>
          </w:p>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综合评价（47分）</w:t>
            </w:r>
          </w:p>
        </w:tc>
        <w:tc>
          <w:tcPr>
            <w:tcW w:w="1071"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药品质量评价</w:t>
            </w: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适应症</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同品种药品相同适应症基础上每增加1个适应症加2分，最高得8分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有效期</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同品种药品最短有效期4分，每增加6个月加1分，最高得8分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贮藏条件</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本项最高得分8分，</w:t>
            </w:r>
            <w:r>
              <w:rPr>
                <w:rFonts w:hint="eastAsia" w:ascii="仿宋_GB2312" w:hAnsi="仿宋_GB2312" w:eastAsia="仿宋_GB2312" w:cs="仿宋_GB2312"/>
                <w:sz w:val="21"/>
                <w:szCs w:val="21"/>
                <w:highlight w:val="none"/>
              </w:rPr>
              <w:t>要求</w:t>
            </w:r>
            <w:r>
              <w:rPr>
                <w:rFonts w:hint="eastAsia" w:ascii="仿宋_GB2312" w:hAnsi="仿宋_GB2312" w:eastAsia="仿宋_GB2312" w:cs="仿宋_GB2312"/>
                <w:sz w:val="21"/>
                <w:szCs w:val="21"/>
                <w:highlight w:val="none"/>
                <w:lang w:val="en-US" w:eastAsia="zh-CN"/>
              </w:rPr>
              <w:t>阴凉</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不超过2</w:t>
            </w:r>
            <w:r>
              <w:rPr>
                <w:rFonts w:hint="eastAsia" w:ascii="仿宋_GB2312" w:hAnsi="仿宋_GB2312" w:eastAsia="仿宋_GB2312" w:cs="仿宋_GB2312"/>
                <w:sz w:val="21"/>
                <w:szCs w:val="21"/>
                <w:highlight w:val="none"/>
              </w:rPr>
              <w:t>0℃）贮藏的，扣2分；要求冷藏（</w:t>
            </w:r>
            <w:r>
              <w:rPr>
                <w:rFonts w:hint="eastAsia" w:ascii="仿宋_GB2312" w:hAnsi="仿宋_GB2312" w:eastAsia="仿宋_GB2312" w:cs="仿宋_GB2312"/>
                <w:sz w:val="21"/>
                <w:szCs w:val="21"/>
                <w:highlight w:val="none"/>
                <w:lang w:val="en-US" w:eastAsia="zh-CN"/>
              </w:rPr>
              <w:t>2-10</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贮藏</w:t>
            </w:r>
            <w:r>
              <w:rPr>
                <w:rFonts w:hint="eastAsia" w:ascii="仿宋_GB2312" w:hAnsi="仿宋_GB2312" w:eastAsia="仿宋_GB2312" w:cs="仿宋_GB2312"/>
                <w:sz w:val="21"/>
                <w:szCs w:val="21"/>
                <w:highlight w:val="none"/>
              </w:rPr>
              <w:t>的，扣4分</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71"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1093"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给药途径</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注射剂给药途径涵盖静滴、静推和肌注的得8分，每少一项扣2分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以说明书为准。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164" w:type="dxa"/>
            <w:gridSpan w:val="2"/>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原料药</w:t>
            </w:r>
          </w:p>
        </w:tc>
        <w:tc>
          <w:tcPr>
            <w:tcW w:w="678"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原料来自本厂得15分；原料来自集团内得12分；其它得7分（须提供原料药批件，原料药关联审评的须提供国家药监局出具的DMF备案资料和企业主要原料药合格供应商目录）。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23" w:type="dxa"/>
            <w:vMerge w:val="restart"/>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减分项</w:t>
            </w:r>
          </w:p>
        </w:tc>
        <w:tc>
          <w:tcPr>
            <w:tcW w:w="2842" w:type="dxa"/>
            <w:gridSpan w:val="3"/>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按照医药价格和招采信用评价制度划分的失信情况</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在联盟省（区、兵团）被定为“一般失信”的扣5分；“中等失信”的扣10分；在全国各省（区、兵团）被评为“严重失信”的扣20分（已修复的除外）。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1223" w:type="dxa"/>
            <w:vMerge w:val="continue"/>
            <w:vAlign w:val="center"/>
          </w:tcPr>
          <w:p>
            <w:pPr>
              <w:adjustRightInd w:val="0"/>
              <w:snapToGrid w:val="0"/>
              <w:spacing w:before="204" w:beforeLines="50" w:after="204" w:afterLines="50" w:line="320" w:lineRule="exact"/>
              <w:ind w:firstLine="420"/>
              <w:jc w:val="center"/>
              <w:rPr>
                <w:rFonts w:hint="eastAsia" w:ascii="仿宋_GB2312" w:hAnsi="仿宋_GB2312" w:eastAsia="仿宋_GB2312" w:cs="仿宋_GB2312"/>
                <w:sz w:val="21"/>
                <w:szCs w:val="21"/>
              </w:rPr>
            </w:pPr>
          </w:p>
        </w:tc>
        <w:tc>
          <w:tcPr>
            <w:tcW w:w="2842" w:type="dxa"/>
            <w:gridSpan w:val="3"/>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涉及医药领域实施垄断协议、滥用市场支配地位被处罚情况（含原料药）</w:t>
            </w:r>
          </w:p>
        </w:tc>
        <w:tc>
          <w:tcPr>
            <w:tcW w:w="4861" w:type="dxa"/>
            <w:vAlign w:val="center"/>
          </w:tcPr>
          <w:p>
            <w:pPr>
              <w:adjustRightInd w:val="0"/>
              <w:snapToGrid w:val="0"/>
              <w:spacing w:before="204" w:beforeLines="50" w:after="204" w:afterLines="50" w:line="32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以2019年1月1日以来省级及以上市场监督管理部门做出的行政处罚决定书为依据，存在涉及本次集采品种的，每涉及一起扣申报企业20分，其他品种情况每涉及一起扣10分。</w:t>
            </w:r>
          </w:p>
        </w:tc>
      </w:tr>
    </w:tbl>
    <w:p>
      <w:pPr>
        <w:tabs>
          <w:tab w:val="left" w:pos="1357"/>
        </w:tabs>
        <w:adjustRightInd w:val="0"/>
        <w:spacing w:line="240" w:lineRule="auto"/>
        <w:ind w:firstLine="0" w:firstLineChars="0"/>
        <w:jc w:val="left"/>
        <w:rPr>
          <w:rStyle w:val="46"/>
          <w:rFonts w:hint="eastAsia" w:ascii="仿宋_GB2312" w:hAnsi="仿宋_GB2312" w:eastAsia="仿宋_GB2312" w:cs="仿宋_GB2312"/>
          <w:color w:val="000000"/>
          <w:sz w:val="21"/>
          <w:szCs w:val="21"/>
          <w:highlight w:val="yellow"/>
          <w:lang w:val="en-US" w:eastAsia="zh-CN"/>
        </w:rPr>
      </w:pPr>
    </w:p>
    <w:p>
      <w:pPr>
        <w:tabs>
          <w:tab w:val="left" w:pos="1357"/>
        </w:tabs>
        <w:adjustRightInd w:val="0"/>
        <w:spacing w:line="240" w:lineRule="auto"/>
        <w:ind w:firstLine="0" w:firstLineChars="0"/>
        <w:jc w:val="left"/>
        <w:rPr>
          <w:rFonts w:hint="eastAsia" w:ascii="仿宋" w:hAnsi="仿宋"/>
          <w:szCs w:val="30"/>
          <w:highlight w:val="none"/>
          <w:lang w:val="zh-CN"/>
        </w:rPr>
      </w:pPr>
      <w:r>
        <w:rPr>
          <w:rStyle w:val="46"/>
          <w:rFonts w:hint="eastAsia" w:ascii="仿宋_GB2312" w:hAnsi="仿宋_GB2312" w:eastAsia="仿宋_GB2312" w:cs="仿宋_GB2312"/>
          <w:color w:val="000000"/>
          <w:sz w:val="21"/>
          <w:szCs w:val="21"/>
          <w:highlight w:val="none"/>
          <w:lang w:val="en-US" w:eastAsia="zh-CN"/>
        </w:rPr>
        <w:t>备注：经济技术标评审中，复方聚乙二醇电解质散，多种微量元素注射液和多种微量元素注射液(</w:t>
      </w:r>
      <w:r>
        <w:rPr>
          <w:rFonts w:hint="eastAsia" w:ascii="仿宋" w:hAnsi="仿宋"/>
          <w:sz w:val="21"/>
          <w:szCs w:val="21"/>
          <w:highlight w:val="none"/>
        </w:rPr>
        <w:t>Ⅱ</w:t>
      </w:r>
      <w:r>
        <w:rPr>
          <w:rStyle w:val="46"/>
          <w:rFonts w:hint="eastAsia" w:ascii="仿宋_GB2312" w:hAnsi="仿宋_GB2312" w:eastAsia="仿宋_GB2312" w:cs="仿宋_GB2312"/>
          <w:color w:val="000000"/>
          <w:sz w:val="21"/>
          <w:szCs w:val="21"/>
          <w:highlight w:val="none"/>
          <w:lang w:val="en-US" w:eastAsia="zh-CN"/>
        </w:rPr>
        <w:t>)所涉及评审指标均</w:t>
      </w:r>
      <w:r>
        <w:rPr>
          <w:rStyle w:val="46"/>
          <w:rFonts w:hint="eastAsia" w:ascii="仿宋_GB2312" w:hAnsi="仿宋_GB2312" w:eastAsia="仿宋_GB2312" w:cs="仿宋_GB2312"/>
          <w:color w:val="000000"/>
          <w:sz w:val="21"/>
          <w:szCs w:val="21"/>
          <w:highlight w:val="none"/>
        </w:rPr>
        <w:t>按照数量关系折算</w:t>
      </w:r>
      <w:r>
        <w:rPr>
          <w:rStyle w:val="46"/>
          <w:rFonts w:hint="eastAsia" w:ascii="仿宋_GB2312" w:hAnsi="仿宋_GB2312" w:eastAsia="仿宋_GB2312" w:cs="仿宋_GB2312"/>
          <w:color w:val="000000"/>
          <w:sz w:val="21"/>
          <w:szCs w:val="21"/>
          <w:highlight w:val="none"/>
          <w:lang w:val="en-US" w:eastAsia="zh-CN"/>
        </w:rPr>
        <w:t>至</w:t>
      </w:r>
      <w:r>
        <w:rPr>
          <w:rStyle w:val="46"/>
          <w:rFonts w:hint="eastAsia" w:ascii="仿宋_GB2312" w:hAnsi="仿宋_GB2312" w:eastAsia="仿宋_GB2312" w:cs="仿宋_GB2312"/>
          <w:color w:val="000000"/>
          <w:sz w:val="21"/>
          <w:szCs w:val="21"/>
          <w:highlight w:val="none"/>
        </w:rPr>
        <w:t>代表品规格计算</w:t>
      </w:r>
      <w:r>
        <w:rPr>
          <w:rStyle w:val="46"/>
          <w:rFonts w:hint="eastAsia" w:ascii="仿宋_GB2312" w:hAnsi="仿宋_GB2312" w:eastAsia="仿宋_GB2312" w:cs="仿宋_GB2312"/>
          <w:color w:val="000000"/>
          <w:sz w:val="21"/>
          <w:szCs w:val="21"/>
          <w:highlight w:val="none"/>
          <w:lang w:val="en-US" w:eastAsia="zh-CN"/>
        </w:rPr>
        <w:t>评审分值</w:t>
      </w:r>
      <w:r>
        <w:rPr>
          <w:rStyle w:val="46"/>
          <w:rFonts w:hint="eastAsia" w:ascii="仿宋_GB2312" w:hAnsi="仿宋_GB2312" w:eastAsia="仿宋_GB2312" w:cs="仿宋_GB2312"/>
          <w:color w:val="000000"/>
          <w:sz w:val="21"/>
          <w:szCs w:val="21"/>
          <w:highlight w:val="none"/>
          <w:lang w:eastAsia="zh-CN"/>
        </w:rPr>
        <w:t>。</w:t>
      </w:r>
    </w:p>
    <w:p>
      <w:pPr>
        <w:tabs>
          <w:tab w:val="left" w:pos="1357"/>
        </w:tabs>
        <w:adjustRightInd w:val="0"/>
        <w:ind w:firstLine="600"/>
        <w:rPr>
          <w:rFonts w:ascii="仿宋" w:hAnsi="仿宋"/>
          <w:szCs w:val="30"/>
          <w:lang w:val="zh-CN"/>
        </w:rPr>
      </w:pPr>
      <w:r>
        <w:rPr>
          <w:rFonts w:hint="eastAsia" w:ascii="仿宋" w:hAnsi="仿宋"/>
          <w:szCs w:val="30"/>
          <w:lang w:val="zh-CN"/>
        </w:rPr>
        <w:t>2.1.2经济技术标评分标准</w:t>
      </w:r>
    </w:p>
    <w:p>
      <w:pPr>
        <w:snapToGrid w:val="0"/>
        <w:ind w:firstLine="600"/>
        <w:rPr>
          <w:rFonts w:hint="eastAsia" w:ascii="仿宋" w:hAnsi="仿宋"/>
          <w:szCs w:val="30"/>
          <w:lang w:val="zh-CN"/>
        </w:rPr>
      </w:pPr>
      <w:r>
        <w:rPr>
          <w:rFonts w:hint="eastAsia" w:ascii="仿宋" w:hAnsi="仿宋"/>
          <w:szCs w:val="30"/>
          <w:lang w:val="zh-CN"/>
        </w:rPr>
        <w:t>（1）</w:t>
      </w:r>
      <w:r>
        <w:rPr>
          <w:rFonts w:ascii="仿宋" w:hAnsi="仿宋"/>
          <w:szCs w:val="30"/>
          <w:lang w:val="zh-CN"/>
        </w:rPr>
        <w:t>每项评分指标按照“就高不就低”的原则</w:t>
      </w:r>
      <w:r>
        <w:rPr>
          <w:rFonts w:hint="eastAsia" w:ascii="仿宋" w:hAnsi="仿宋"/>
          <w:szCs w:val="30"/>
          <w:lang w:val="zh-CN"/>
        </w:rPr>
        <w:t>评</w:t>
      </w:r>
      <w:r>
        <w:rPr>
          <w:rFonts w:ascii="仿宋" w:hAnsi="仿宋"/>
          <w:szCs w:val="30"/>
          <w:lang w:val="zh-CN"/>
        </w:rPr>
        <w:t>分。</w:t>
      </w:r>
    </w:p>
    <w:p>
      <w:pPr>
        <w:snapToGrid w:val="0"/>
        <w:ind w:firstLine="600"/>
        <w:rPr>
          <w:rFonts w:hint="eastAsia" w:ascii="仿宋" w:hAnsi="仿宋"/>
          <w:szCs w:val="30"/>
          <w:lang w:val="zh-CN"/>
        </w:rPr>
      </w:pPr>
      <w:r>
        <w:rPr>
          <w:rFonts w:hint="eastAsia" w:ascii="仿宋" w:hAnsi="仿宋"/>
          <w:szCs w:val="30"/>
          <w:lang w:val="zh-CN"/>
        </w:rPr>
        <w:t>（2）以申报企业申报的评分指标内容为准进行评分，申报错误（申报材料纸质版与电子版不一致）的该项不得分，两项以上申报错误的，取消经济技术标评分资格。</w:t>
      </w:r>
    </w:p>
    <w:p>
      <w:pPr>
        <w:snapToGrid w:val="0"/>
        <w:ind w:firstLine="600"/>
        <w:rPr>
          <w:rFonts w:hint="eastAsia" w:ascii="仿宋" w:hAnsi="仿宋"/>
          <w:szCs w:val="30"/>
          <w:lang w:val="zh-CN"/>
        </w:rPr>
      </w:pPr>
      <w:r>
        <w:rPr>
          <w:rFonts w:hint="eastAsia" w:ascii="仿宋" w:hAnsi="仿宋"/>
          <w:szCs w:val="30"/>
          <w:lang w:val="zh-CN"/>
        </w:rPr>
        <w:t>（3）虚假申报评分指标的，一经查实，取消产品申报资格；两个及以上产品虚假申报的，取消该企业申报资格。</w:t>
      </w:r>
    </w:p>
    <w:p>
      <w:pPr>
        <w:ind w:firstLine="600"/>
        <w:rPr>
          <w:rFonts w:ascii="仿宋" w:hAnsi="仿宋"/>
          <w:szCs w:val="30"/>
        </w:rPr>
      </w:pPr>
      <w:r>
        <w:rPr>
          <w:rFonts w:hint="eastAsia" w:ascii="仿宋" w:hAnsi="仿宋"/>
          <w:szCs w:val="30"/>
        </w:rPr>
        <w:t>2.2经济技术标入围规则</w:t>
      </w:r>
    </w:p>
    <w:p>
      <w:pPr>
        <w:ind w:firstLine="600"/>
        <w:rPr>
          <w:rFonts w:hint="eastAsia" w:ascii="方正小标宋_GBK" w:hAnsi="方正小标宋_GBK" w:eastAsia="方正小标宋_GBK" w:cs="方正小标宋_GBK"/>
          <w:color w:val="000000" w:themeColor="text1"/>
          <w:sz w:val="28"/>
          <w:szCs w:val="28"/>
        </w:rPr>
      </w:pPr>
      <w:r>
        <w:rPr>
          <w:rFonts w:hint="eastAsia" w:ascii="仿宋" w:hAnsi="仿宋"/>
          <w:szCs w:val="30"/>
          <w:lang w:val="zh-CN"/>
        </w:rPr>
        <w:t>将经济技术标评分由高到低排序，按照“经济技术标评分入围数量表”中明确的入围数量，依次确定进入综合评分环节的产品（若最后一名得分相同时，均进入综合评审环节）。</w:t>
      </w:r>
      <w:r>
        <w:rPr>
          <w:rFonts w:hint="eastAsia" w:ascii="仿宋" w:hAnsi="仿宋"/>
          <w:szCs w:val="30"/>
          <w:lang w:val="en-US" w:eastAsia="zh-CN"/>
        </w:rPr>
        <w:t xml:space="preserve"> </w:t>
      </w:r>
    </w:p>
    <w:p>
      <w:pPr>
        <w:ind w:firstLine="560"/>
        <w:jc w:val="center"/>
        <w:rPr>
          <w:rFonts w:hint="eastAsia" w:ascii="方正小标宋_GBK" w:hAnsi="方正小标宋_GBK" w:eastAsia="方正小标宋_GBK" w:cs="方正小标宋_GBK"/>
          <w:color w:val="000000" w:themeColor="text1"/>
          <w:sz w:val="28"/>
          <w:szCs w:val="28"/>
        </w:rPr>
      </w:pPr>
      <w:r>
        <w:rPr>
          <w:rFonts w:hint="eastAsia" w:ascii="方正小标宋_GBK" w:hAnsi="方正小标宋_GBK" w:eastAsia="方正小标宋_GBK" w:cs="方正小标宋_GBK"/>
          <w:color w:val="000000" w:themeColor="text1"/>
          <w:sz w:val="28"/>
          <w:szCs w:val="28"/>
        </w:rPr>
        <w:t>经济技术标评分入围企业数量表</w:t>
      </w:r>
    </w:p>
    <w:tbl>
      <w:tblPr>
        <w:tblStyle w:val="20"/>
        <w:tblW w:w="0" w:type="auto"/>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197"/>
        <w:gridCol w:w="1754"/>
        <w:gridCol w:w="2144"/>
        <w:gridCol w:w="1701"/>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有效申报企业数量</w:t>
            </w:r>
          </w:p>
        </w:tc>
        <w:tc>
          <w:tcPr>
            <w:tcW w:w="1754"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入围企业数量</w:t>
            </w:r>
          </w:p>
        </w:tc>
        <w:tc>
          <w:tcPr>
            <w:tcW w:w="2144"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有效申报企业数量</w:t>
            </w:r>
          </w:p>
        </w:tc>
        <w:tc>
          <w:tcPr>
            <w:tcW w:w="1701" w:type="dxa"/>
            <w:vAlign w:val="center"/>
          </w:tcPr>
          <w:p>
            <w:pPr>
              <w:ind w:firstLine="0" w:firstLineChars="0"/>
              <w:jc w:val="center"/>
              <w:rPr>
                <w:rFonts w:hint="eastAsia" w:ascii="黑体" w:hAnsi="黑体" w:eastAsia="黑体" w:cs="黑体"/>
                <w:color w:val="000000" w:themeColor="text1"/>
                <w:sz w:val="24"/>
              </w:rPr>
            </w:pPr>
            <w:r>
              <w:rPr>
                <w:rFonts w:hint="eastAsia" w:ascii="黑体" w:hAnsi="黑体" w:eastAsia="黑体" w:cs="黑体"/>
                <w:color w:val="000000" w:themeColor="text1"/>
                <w:sz w:val="24"/>
              </w:rPr>
              <w:t>入围企业数量</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2</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2</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8-9</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7</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3-4</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3</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10-11</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8</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5</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4</w:t>
            </w:r>
          </w:p>
        </w:tc>
        <w:tc>
          <w:tcPr>
            <w:tcW w:w="2144" w:type="dxa"/>
            <w:vAlign w:val="center"/>
          </w:tcPr>
          <w:p>
            <w:pPr>
              <w:ind w:firstLine="0" w:firstLineChars="0"/>
              <w:jc w:val="center"/>
              <w:rPr>
                <w:rFonts w:hint="eastAsia" w:cs="仿宋"/>
                <w:color w:val="000000" w:themeColor="text1"/>
                <w:sz w:val="24"/>
              </w:rPr>
            </w:pPr>
            <w:r>
              <w:rPr>
                <w:rFonts w:hint="eastAsia" w:cs="仿宋"/>
                <w:color w:val="000000" w:themeColor="text1"/>
                <w:sz w:val="24"/>
              </w:rPr>
              <w:t>12-14</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9</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6</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5</w:t>
            </w:r>
          </w:p>
        </w:tc>
        <w:tc>
          <w:tcPr>
            <w:tcW w:w="2144" w:type="dxa"/>
            <w:vAlign w:val="center"/>
          </w:tcPr>
          <w:p>
            <w:pPr>
              <w:ind w:left="0" w:leftChars="0" w:firstLine="0" w:firstLineChars="0"/>
              <w:jc w:val="center"/>
              <w:rPr>
                <w:rFonts w:hint="eastAsia" w:cs="仿宋"/>
                <w:color w:val="000000" w:themeColor="text1"/>
                <w:sz w:val="24"/>
              </w:rPr>
            </w:pPr>
            <w:r>
              <w:rPr>
                <w:rFonts w:hint="eastAsia" w:cs="仿宋"/>
                <w:color w:val="000000" w:themeColor="text1"/>
                <w:sz w:val="24"/>
              </w:rPr>
              <w:t>15-20</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10</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97" w:type="dxa"/>
            <w:vAlign w:val="center"/>
          </w:tcPr>
          <w:p>
            <w:pPr>
              <w:ind w:firstLine="0" w:firstLineChars="0"/>
              <w:jc w:val="center"/>
              <w:rPr>
                <w:rFonts w:hint="eastAsia" w:cs="仿宋"/>
                <w:color w:val="000000" w:themeColor="text1"/>
                <w:sz w:val="24"/>
              </w:rPr>
            </w:pPr>
            <w:r>
              <w:rPr>
                <w:rFonts w:hint="eastAsia" w:cs="仿宋"/>
                <w:color w:val="000000" w:themeColor="text1"/>
                <w:sz w:val="24"/>
              </w:rPr>
              <w:t>7</w:t>
            </w:r>
          </w:p>
        </w:tc>
        <w:tc>
          <w:tcPr>
            <w:tcW w:w="1754" w:type="dxa"/>
            <w:vAlign w:val="center"/>
          </w:tcPr>
          <w:p>
            <w:pPr>
              <w:ind w:firstLine="0" w:firstLineChars="0"/>
              <w:jc w:val="center"/>
              <w:rPr>
                <w:rFonts w:hint="eastAsia" w:cs="仿宋"/>
                <w:color w:val="000000" w:themeColor="text1"/>
                <w:sz w:val="24"/>
              </w:rPr>
            </w:pPr>
            <w:r>
              <w:rPr>
                <w:rFonts w:hint="eastAsia" w:cs="仿宋"/>
                <w:color w:val="000000" w:themeColor="text1"/>
                <w:sz w:val="24"/>
              </w:rPr>
              <w:t>6</w:t>
            </w:r>
          </w:p>
        </w:tc>
        <w:tc>
          <w:tcPr>
            <w:tcW w:w="2144" w:type="dxa"/>
            <w:vAlign w:val="center"/>
          </w:tcPr>
          <w:p>
            <w:pPr>
              <w:ind w:firstLine="0" w:firstLineChars="0"/>
              <w:jc w:val="center"/>
              <w:rPr>
                <w:rFonts w:hint="eastAsia" w:cs="仿宋"/>
                <w:color w:val="000000" w:themeColor="text1"/>
                <w:sz w:val="24"/>
              </w:rPr>
            </w:pPr>
            <w:r>
              <w:rPr>
                <w:rFonts w:ascii="Arial" w:hAnsi="Arial" w:cs="Arial"/>
                <w:color w:val="000000" w:themeColor="text1"/>
                <w:sz w:val="24"/>
              </w:rPr>
              <w:t>≥</w:t>
            </w:r>
            <w:r>
              <w:rPr>
                <w:rFonts w:hint="eastAsia" w:cs="仿宋"/>
                <w:color w:val="000000" w:themeColor="text1"/>
                <w:sz w:val="24"/>
              </w:rPr>
              <w:t>20</w:t>
            </w:r>
          </w:p>
        </w:tc>
        <w:tc>
          <w:tcPr>
            <w:tcW w:w="1701" w:type="dxa"/>
            <w:vAlign w:val="center"/>
          </w:tcPr>
          <w:p>
            <w:pPr>
              <w:ind w:firstLine="0" w:firstLineChars="0"/>
              <w:jc w:val="center"/>
              <w:rPr>
                <w:rFonts w:hint="eastAsia" w:cs="仿宋"/>
                <w:color w:val="000000" w:themeColor="text1"/>
                <w:sz w:val="24"/>
              </w:rPr>
            </w:pPr>
            <w:r>
              <w:rPr>
                <w:rFonts w:hint="eastAsia" w:cs="仿宋"/>
                <w:color w:val="000000" w:themeColor="text1"/>
                <w:sz w:val="24"/>
              </w:rPr>
              <w:t>15</w:t>
            </w:r>
          </w:p>
        </w:tc>
      </w:tr>
    </w:tbl>
    <w:p>
      <w:pPr>
        <w:ind w:firstLine="600"/>
        <w:rPr>
          <w:rFonts w:hint="eastAsia" w:ascii="仿宋" w:hAnsi="仿宋"/>
          <w:szCs w:val="30"/>
        </w:rPr>
      </w:pPr>
      <w:r>
        <w:rPr>
          <w:rFonts w:hint="eastAsia" w:ascii="仿宋" w:hAnsi="仿宋"/>
          <w:szCs w:val="30"/>
        </w:rPr>
        <w:t>2.3递补规则</w:t>
      </w:r>
    </w:p>
    <w:p>
      <w:pPr>
        <w:ind w:firstLine="600"/>
        <w:rPr>
          <w:rFonts w:hint="eastAsia" w:ascii="仿宋" w:hAnsi="仿宋"/>
          <w:szCs w:val="30"/>
          <w:lang w:val="zh-CN"/>
        </w:rPr>
      </w:pPr>
      <w:r>
        <w:rPr>
          <w:rFonts w:hint="eastAsia" w:ascii="仿宋" w:hAnsi="仿宋"/>
          <w:szCs w:val="30"/>
          <w:lang w:val="zh-CN"/>
        </w:rPr>
        <w:t>如经济技术标入围产品被取消资格，经省公共资源交易中心审核后，可按本组经济技术标得分由高到低顺次递补。</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3.商务标评分规则</w:t>
      </w:r>
    </w:p>
    <w:p>
      <w:pPr>
        <w:pStyle w:val="47"/>
        <w:snapToGrid w:val="0"/>
        <w:spacing w:line="560" w:lineRule="exact"/>
        <w:ind w:left="0" w:firstLine="600" w:firstLineChars="200"/>
        <w:jc w:val="both"/>
        <w:rPr>
          <w:rFonts w:hint="eastAsia" w:cs="Times New Roman"/>
          <w:kern w:val="2"/>
          <w:sz w:val="30"/>
          <w:szCs w:val="30"/>
          <w:lang w:bidi="ar-SA"/>
        </w:rPr>
      </w:pPr>
      <w:r>
        <w:rPr>
          <w:rFonts w:hint="eastAsia" w:cs="Times New Roman"/>
          <w:kern w:val="2"/>
          <w:sz w:val="30"/>
          <w:szCs w:val="30"/>
          <w:lang w:bidi="ar-SA"/>
        </w:rPr>
        <w:t>对经济技术标评分入围产品进行商务标评分。同组申报企业报价最低的商务标得分为100分，其余申报企业的商务标得分按照下列公式计算：</w:t>
      </w:r>
    </w:p>
    <w:p>
      <w:pPr>
        <w:pStyle w:val="47"/>
        <w:snapToGrid w:val="0"/>
        <w:spacing w:line="560" w:lineRule="exact"/>
        <w:ind w:left="0" w:firstLine="600" w:firstLineChars="200"/>
        <w:jc w:val="both"/>
        <w:rPr>
          <w:rFonts w:cs="Times New Roman"/>
          <w:kern w:val="2"/>
          <w:sz w:val="30"/>
          <w:szCs w:val="30"/>
          <w:lang w:bidi="ar-SA"/>
        </w:rPr>
      </w:pPr>
      <w:r>
        <w:rPr>
          <w:rFonts w:cs="Times New Roman"/>
          <w:kern w:val="2"/>
          <w:sz w:val="30"/>
          <w:szCs w:val="30"/>
          <w:lang w:bidi="ar-SA"/>
        </w:rPr>
        <w:t>商务标得分</w:t>
      </w:r>
      <w:r>
        <w:rPr>
          <w:rFonts w:hint="eastAsia" w:cs="Times New Roman"/>
          <w:kern w:val="2"/>
          <w:sz w:val="30"/>
          <w:szCs w:val="30"/>
          <w:lang w:bidi="ar-SA"/>
        </w:rPr>
        <w:t>=100×（同组最低有效申报价/本企业该产品报价）</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4.综合评分规则</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综合评审得分具体公式如下：</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综合评审得分=经济技术标得分×</w:t>
      </w:r>
      <w:r>
        <w:rPr>
          <w:rFonts w:hint="eastAsia" w:ascii="仿宋" w:hAnsi="仿宋" w:eastAsia="仿宋" w:cs="Times New Roman"/>
          <w:color w:val="auto"/>
          <w:kern w:val="2"/>
          <w:sz w:val="30"/>
          <w:szCs w:val="30"/>
        </w:rPr>
        <w:t>50</w:t>
      </w:r>
      <w:r>
        <w:rPr>
          <w:rFonts w:ascii="仿宋" w:hAnsi="仿宋" w:eastAsia="仿宋" w:cs="Times New Roman"/>
          <w:color w:val="auto"/>
          <w:kern w:val="2"/>
          <w:sz w:val="30"/>
          <w:szCs w:val="30"/>
        </w:rPr>
        <w:t>%+商务标得分×</w:t>
      </w:r>
      <w:r>
        <w:rPr>
          <w:rFonts w:hint="eastAsia" w:ascii="仿宋" w:hAnsi="仿宋" w:eastAsia="仿宋" w:cs="Times New Roman"/>
          <w:color w:val="auto"/>
          <w:kern w:val="2"/>
          <w:sz w:val="30"/>
          <w:szCs w:val="30"/>
        </w:rPr>
        <w:t>5</w:t>
      </w:r>
      <w:r>
        <w:rPr>
          <w:rFonts w:ascii="仿宋" w:hAnsi="仿宋" w:eastAsia="仿宋" w:cs="Times New Roman"/>
          <w:color w:val="auto"/>
          <w:kern w:val="2"/>
          <w:sz w:val="30"/>
          <w:szCs w:val="30"/>
        </w:rPr>
        <w:t>0%</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ascii="仿宋" w:hAnsi="仿宋" w:eastAsia="仿宋" w:cs="Times New Roman"/>
          <w:color w:val="auto"/>
          <w:kern w:val="2"/>
          <w:sz w:val="30"/>
          <w:szCs w:val="30"/>
        </w:rPr>
        <w:t>根据综合评审</w:t>
      </w:r>
      <w:r>
        <w:rPr>
          <w:rFonts w:hint="eastAsia" w:ascii="仿宋" w:hAnsi="仿宋" w:eastAsia="仿宋" w:cs="Times New Roman"/>
          <w:color w:val="auto"/>
          <w:kern w:val="2"/>
          <w:sz w:val="30"/>
          <w:szCs w:val="30"/>
        </w:rPr>
        <w:t>得</w:t>
      </w:r>
      <w:r>
        <w:rPr>
          <w:rFonts w:ascii="仿宋" w:hAnsi="仿宋" w:eastAsia="仿宋" w:cs="Times New Roman"/>
          <w:color w:val="auto"/>
          <w:kern w:val="2"/>
          <w:sz w:val="30"/>
          <w:szCs w:val="30"/>
        </w:rPr>
        <w:t>分</w:t>
      </w:r>
      <w:r>
        <w:rPr>
          <w:rFonts w:hint="eastAsia" w:ascii="仿宋" w:hAnsi="仿宋" w:eastAsia="仿宋" w:cs="Times New Roman"/>
          <w:color w:val="auto"/>
          <w:kern w:val="2"/>
          <w:sz w:val="30"/>
          <w:szCs w:val="30"/>
        </w:rPr>
        <w:t>，</w:t>
      </w:r>
      <w:r>
        <w:rPr>
          <w:rFonts w:ascii="仿宋" w:hAnsi="仿宋" w:eastAsia="仿宋" w:cs="Times New Roman"/>
          <w:color w:val="auto"/>
          <w:kern w:val="2"/>
          <w:sz w:val="30"/>
          <w:szCs w:val="30"/>
        </w:rPr>
        <w:t>在</w:t>
      </w:r>
      <w:r>
        <w:rPr>
          <w:rFonts w:hint="eastAsia" w:ascii="仿宋" w:hAnsi="仿宋" w:eastAsia="仿宋" w:cs="Times New Roman"/>
          <w:color w:val="auto"/>
          <w:kern w:val="2"/>
          <w:sz w:val="30"/>
          <w:szCs w:val="30"/>
        </w:rPr>
        <w:t>最多拟中选数</w:t>
      </w:r>
      <w:r>
        <w:rPr>
          <w:rFonts w:ascii="仿宋" w:hAnsi="仿宋" w:eastAsia="仿宋" w:cs="Times New Roman"/>
          <w:color w:val="auto"/>
          <w:kern w:val="2"/>
          <w:sz w:val="30"/>
          <w:szCs w:val="30"/>
        </w:rPr>
        <w:t>额内按照得分由高到低的顺序</w:t>
      </w:r>
      <w:r>
        <w:rPr>
          <w:rFonts w:hint="eastAsia" w:ascii="仿宋" w:hAnsi="仿宋" w:eastAsia="仿宋" w:cs="Times New Roman"/>
          <w:color w:val="auto"/>
          <w:kern w:val="2"/>
          <w:sz w:val="30"/>
          <w:szCs w:val="30"/>
        </w:rPr>
        <w:t>依次</w:t>
      </w:r>
      <w:r>
        <w:rPr>
          <w:rFonts w:ascii="仿宋" w:hAnsi="仿宋" w:eastAsia="仿宋" w:cs="Times New Roman"/>
          <w:color w:val="auto"/>
          <w:kern w:val="2"/>
          <w:sz w:val="30"/>
          <w:szCs w:val="30"/>
        </w:rPr>
        <w:t>确定拟中选</w:t>
      </w:r>
      <w:r>
        <w:rPr>
          <w:rFonts w:hint="eastAsia" w:ascii="仿宋" w:hAnsi="仿宋" w:eastAsia="仿宋" w:cs="Times New Roman"/>
          <w:color w:val="auto"/>
          <w:kern w:val="2"/>
          <w:sz w:val="30"/>
          <w:szCs w:val="30"/>
        </w:rPr>
        <w:t>产品</w:t>
      </w:r>
      <w:r>
        <w:rPr>
          <w:rFonts w:ascii="仿宋" w:hAnsi="仿宋" w:eastAsia="仿宋" w:cs="Times New Roman"/>
          <w:color w:val="auto"/>
          <w:kern w:val="2"/>
          <w:sz w:val="30"/>
          <w:szCs w:val="30"/>
        </w:rPr>
        <w:t>。若综合评审得分出现并列的，按以下顺序</w:t>
      </w:r>
      <w:r>
        <w:rPr>
          <w:rFonts w:hint="eastAsia" w:ascii="仿宋" w:hAnsi="仿宋" w:eastAsia="仿宋" w:cs="Times New Roman"/>
          <w:color w:val="auto"/>
          <w:kern w:val="2"/>
          <w:sz w:val="30"/>
          <w:szCs w:val="30"/>
        </w:rPr>
        <w:t>依次</w:t>
      </w:r>
      <w:r>
        <w:rPr>
          <w:rFonts w:ascii="仿宋" w:hAnsi="仿宋" w:eastAsia="仿宋" w:cs="Times New Roman"/>
          <w:color w:val="auto"/>
          <w:kern w:val="2"/>
          <w:sz w:val="30"/>
          <w:szCs w:val="30"/>
        </w:rPr>
        <w:t>确定拟中选</w:t>
      </w:r>
      <w:r>
        <w:rPr>
          <w:rFonts w:hint="eastAsia" w:ascii="仿宋" w:hAnsi="仿宋" w:eastAsia="仿宋" w:cs="Times New Roman"/>
          <w:color w:val="auto"/>
          <w:kern w:val="2"/>
          <w:sz w:val="30"/>
          <w:szCs w:val="30"/>
        </w:rPr>
        <w:t>产品</w:t>
      </w:r>
      <w:r>
        <w:rPr>
          <w:rFonts w:ascii="仿宋" w:hAnsi="仿宋" w:eastAsia="仿宋" w:cs="Times New Roman"/>
          <w:color w:val="auto"/>
          <w:kern w:val="2"/>
          <w:sz w:val="30"/>
          <w:szCs w:val="30"/>
        </w:rPr>
        <w:t>：</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4.1</w:t>
      </w:r>
      <w:r>
        <w:rPr>
          <w:rFonts w:ascii="仿宋" w:hAnsi="仿宋" w:eastAsia="仿宋" w:cs="Times New Roman"/>
          <w:color w:val="auto"/>
          <w:kern w:val="2"/>
          <w:sz w:val="30"/>
          <w:szCs w:val="30"/>
        </w:rPr>
        <w:t>商务标得分高的优先；</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4.2</w:t>
      </w:r>
      <w:r>
        <w:rPr>
          <w:rFonts w:ascii="仿宋" w:hAnsi="仿宋" w:eastAsia="仿宋" w:cs="Times New Roman"/>
          <w:color w:val="auto"/>
          <w:kern w:val="2"/>
          <w:sz w:val="30"/>
          <w:szCs w:val="30"/>
        </w:rPr>
        <w:t>医疗机构报送需求量大的优先</w:t>
      </w:r>
      <w:r>
        <w:rPr>
          <w:rFonts w:hint="eastAsia" w:ascii="仿宋" w:hAnsi="仿宋" w:eastAsia="仿宋" w:cs="Times New Roman"/>
          <w:color w:val="auto"/>
          <w:kern w:val="2"/>
          <w:sz w:val="30"/>
          <w:szCs w:val="30"/>
        </w:rPr>
        <w:t>；</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4.3同品种B组拟中选产品价格应低于A组拟中选产品的最低价。若高于的，B组拟中选企业须重新开展1次报价，报价低于A组拟中选产品价格的，纳入拟中选产品目录；报价高于A组拟中选产品价格的，则不纳入拟中选产品目录。</w:t>
      </w:r>
    </w:p>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5.最多拟中选企业数量</w:t>
      </w:r>
    </w:p>
    <w:p>
      <w:pPr>
        <w:pStyle w:val="47"/>
        <w:snapToGrid w:val="0"/>
        <w:spacing w:line="560" w:lineRule="exact"/>
        <w:ind w:left="0"/>
        <w:jc w:val="both"/>
        <w:rPr>
          <w:rStyle w:val="46"/>
          <w:rFonts w:hint="eastAsia" w:ascii="Arial Unicode MS" w:hAnsi="Arial Unicode MS" w:eastAsia="Arial Unicode MS" w:cs="Arial Unicode MS"/>
          <w:spacing w:val="7"/>
          <w:w w:val="95"/>
          <w:sz w:val="28"/>
          <w:szCs w:val="28"/>
          <w:lang w:val="en-US"/>
        </w:rPr>
      </w:pPr>
    </w:p>
    <w:p>
      <w:pPr>
        <w:pStyle w:val="47"/>
        <w:snapToGrid w:val="0"/>
        <w:spacing w:line="560" w:lineRule="exact"/>
        <w:ind w:left="0"/>
        <w:jc w:val="both"/>
        <w:rPr>
          <w:rStyle w:val="46"/>
          <w:rFonts w:hint="eastAsia" w:ascii="Arial Unicode MS" w:hAnsi="Arial Unicode MS" w:eastAsia="Arial Unicode MS" w:cs="Arial Unicode MS"/>
          <w:spacing w:val="7"/>
          <w:w w:val="95"/>
          <w:sz w:val="28"/>
          <w:szCs w:val="28"/>
          <w:lang w:val="en-US"/>
        </w:rPr>
      </w:pPr>
    </w:p>
    <w:p>
      <w:pPr>
        <w:pStyle w:val="47"/>
        <w:snapToGrid w:val="0"/>
        <w:spacing w:line="560" w:lineRule="exact"/>
        <w:ind w:left="0"/>
        <w:jc w:val="both"/>
        <w:rPr>
          <w:rStyle w:val="46"/>
          <w:rFonts w:hint="eastAsia" w:ascii="Arial Unicode MS" w:hAnsi="Arial Unicode MS" w:eastAsia="Arial Unicode MS" w:cs="Arial Unicode MS"/>
          <w:spacing w:val="7"/>
          <w:w w:val="95"/>
          <w:sz w:val="28"/>
          <w:szCs w:val="28"/>
          <w:lang w:val="en-US"/>
        </w:rPr>
      </w:pPr>
    </w:p>
    <w:p>
      <w:pPr>
        <w:pStyle w:val="47"/>
        <w:snapToGrid w:val="0"/>
        <w:spacing w:line="560" w:lineRule="exact"/>
        <w:ind w:left="0"/>
        <w:jc w:val="center"/>
        <w:rPr>
          <w:rFonts w:hint="eastAsia" w:ascii="方正小标宋_GBK" w:hAnsi="方正小标宋_GBK" w:eastAsia="方正小标宋_GBK" w:cs="方正小标宋_GBK"/>
          <w:color w:val="000000" w:themeColor="text1"/>
          <w:kern w:val="2"/>
          <w:sz w:val="28"/>
          <w:szCs w:val="28"/>
          <w:lang w:val="en-US" w:eastAsia="zh-CN" w:bidi="ar-SA"/>
        </w:rPr>
      </w:pPr>
      <w:r>
        <w:rPr>
          <w:rFonts w:hint="eastAsia" w:ascii="方正小标宋_GBK" w:hAnsi="方正小标宋_GBK" w:eastAsia="方正小标宋_GBK" w:cs="方正小标宋_GBK"/>
          <w:color w:val="000000" w:themeColor="text1"/>
          <w:kern w:val="2"/>
          <w:sz w:val="28"/>
          <w:szCs w:val="28"/>
          <w:lang w:val="en-US" w:eastAsia="zh-CN" w:bidi="ar-SA"/>
        </w:rPr>
        <w:t>同品种同组最多拟中选企业数量表</w:t>
      </w:r>
    </w:p>
    <w:tbl>
      <w:tblPr>
        <w:tblStyle w:val="20"/>
        <w:tblW w:w="8529" w:type="dxa"/>
        <w:jc w:val="center"/>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autofit"/>
        <w:tblCellMar>
          <w:top w:w="0" w:type="dxa"/>
          <w:left w:w="0" w:type="dxa"/>
          <w:bottom w:w="0" w:type="dxa"/>
          <w:right w:w="0" w:type="dxa"/>
        </w:tblCellMar>
      </w:tblPr>
      <w:tblGrid>
        <w:gridCol w:w="2525"/>
        <w:gridCol w:w="1993"/>
        <w:gridCol w:w="2000"/>
        <w:gridCol w:w="2011"/>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入围企业数量</w:t>
            </w:r>
          </w:p>
        </w:tc>
        <w:tc>
          <w:tcPr>
            <w:tcW w:w="1993"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拟中选数额</w:t>
            </w:r>
          </w:p>
        </w:tc>
        <w:tc>
          <w:tcPr>
            <w:tcW w:w="2000"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入围企业数量</w:t>
            </w:r>
          </w:p>
        </w:tc>
        <w:tc>
          <w:tcPr>
            <w:tcW w:w="2011" w:type="dxa"/>
            <w:tcBorders>
              <w:tl2br w:val="nil"/>
              <w:tr2bl w:val="nil"/>
            </w:tcBorders>
            <w:vAlign w:val="center"/>
          </w:tcPr>
          <w:p>
            <w:pPr>
              <w:snapToGrid w:val="0"/>
              <w:spacing w:line="300" w:lineRule="atLeast"/>
              <w:ind w:firstLine="0" w:firstLineChars="0"/>
              <w:jc w:val="center"/>
              <w:rPr>
                <w:rStyle w:val="46"/>
                <w:rFonts w:hint="eastAsia" w:ascii="黑体" w:hAnsi="黑体" w:eastAsia="黑体" w:cs="黑体"/>
                <w:color w:val="000000"/>
                <w:sz w:val="24"/>
              </w:rPr>
            </w:pPr>
            <w:r>
              <w:rPr>
                <w:rStyle w:val="46"/>
                <w:rFonts w:hint="eastAsia" w:ascii="黑体" w:hAnsi="黑体" w:eastAsia="黑体" w:cs="黑体"/>
                <w:color w:val="000000"/>
                <w:sz w:val="24"/>
              </w:rPr>
              <w:t>拟中选数额</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2</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7</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3</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2</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8</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3</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9</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6</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5</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10</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7</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0" w:type="dxa"/>
            <w:bottom w:w="0" w:type="dxa"/>
            <w:right w:w="0" w:type="dxa"/>
          </w:tblCellMar>
        </w:tblPrEx>
        <w:trPr>
          <w:trHeight w:val="454" w:hRule="atLeast"/>
          <w:jc w:val="center"/>
        </w:trPr>
        <w:tc>
          <w:tcPr>
            <w:tcW w:w="2525"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6</w:t>
            </w:r>
          </w:p>
        </w:tc>
        <w:tc>
          <w:tcPr>
            <w:tcW w:w="1993"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4</w:t>
            </w:r>
          </w:p>
        </w:tc>
        <w:tc>
          <w:tcPr>
            <w:tcW w:w="2000"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15</w:t>
            </w:r>
          </w:p>
        </w:tc>
        <w:tc>
          <w:tcPr>
            <w:tcW w:w="2011" w:type="dxa"/>
            <w:tcBorders>
              <w:tl2br w:val="nil"/>
              <w:tr2bl w:val="nil"/>
            </w:tcBorders>
            <w:vAlign w:val="center"/>
          </w:tcPr>
          <w:p>
            <w:pPr>
              <w:snapToGrid w:val="0"/>
              <w:spacing w:line="300" w:lineRule="atLeast"/>
              <w:ind w:firstLine="0" w:firstLineChars="0"/>
              <w:jc w:val="center"/>
              <w:rPr>
                <w:rFonts w:hint="eastAsia" w:ascii="仿宋_GB2312" w:hAnsi="仿宋_GB2312" w:eastAsia="仿宋_GB2312"/>
                <w:color w:val="000000"/>
                <w:sz w:val="24"/>
              </w:rPr>
            </w:pPr>
            <w:r>
              <w:rPr>
                <w:rStyle w:val="46"/>
                <w:rFonts w:hint="eastAsia" w:ascii="仿宋_GB2312" w:hAnsi="仿宋_GB2312" w:eastAsia="仿宋_GB2312"/>
                <w:color w:val="000000"/>
                <w:sz w:val="24"/>
              </w:rPr>
              <w:t>10</w:t>
            </w:r>
          </w:p>
        </w:tc>
      </w:tr>
    </w:tbl>
    <w:p>
      <w:pPr>
        <w:pStyle w:val="27"/>
        <w:numPr>
          <w:ilvl w:val="255"/>
          <w:numId w:val="0"/>
        </w:numPr>
        <w:spacing w:line="560" w:lineRule="exact"/>
        <w:ind w:firstLine="600" w:firstLineChars="200"/>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6.复活机制</w:t>
      </w:r>
    </w:p>
    <w:p>
      <w:pPr>
        <w:spacing w:line="540" w:lineRule="exact"/>
        <w:ind w:firstLine="600"/>
        <w:rPr>
          <w:rFonts w:hint="eastAsia" w:ascii="仿宋" w:hAnsi="仿宋"/>
          <w:szCs w:val="30"/>
        </w:rPr>
      </w:pPr>
      <w:r>
        <w:rPr>
          <w:rFonts w:hint="eastAsia" w:ascii="仿宋" w:hAnsi="仿宋"/>
          <w:szCs w:val="30"/>
        </w:rPr>
        <w:t>同组未中选品种，符合下列情形之一的申报企业，可复活获得拟中选资格，且不受最多拟中选企业数量限制。复活企业仅获得50%的约定采购量，且不参与待分配量的分配。</w:t>
      </w:r>
    </w:p>
    <w:p>
      <w:pPr>
        <w:spacing w:line="540" w:lineRule="exact"/>
        <w:ind w:firstLine="600"/>
        <w:rPr>
          <w:rFonts w:hint="eastAsia" w:ascii="仿宋" w:hAnsi="仿宋"/>
          <w:szCs w:val="30"/>
          <w:highlight w:val="none"/>
        </w:rPr>
      </w:pPr>
      <w:r>
        <w:rPr>
          <w:rFonts w:hint="eastAsia" w:ascii="仿宋" w:hAnsi="仿宋"/>
          <w:szCs w:val="30"/>
        </w:rPr>
        <w:t>①</w:t>
      </w:r>
      <w:r>
        <w:rPr>
          <w:rFonts w:hint="eastAsia" w:ascii="仿宋" w:hAnsi="仿宋"/>
          <w:szCs w:val="30"/>
          <w:highlight w:val="none"/>
        </w:rPr>
        <w:t>申报企业有外省集采中选价格的，企业报价不高于其外省集采最低中选价格。</w:t>
      </w:r>
    </w:p>
    <w:p>
      <w:pPr>
        <w:spacing w:line="540" w:lineRule="exact"/>
        <w:ind w:firstLine="600"/>
        <w:rPr>
          <w:rFonts w:hint="eastAsia" w:ascii="仿宋" w:hAnsi="仿宋"/>
          <w:szCs w:val="30"/>
        </w:rPr>
      </w:pPr>
      <w:r>
        <w:rPr>
          <w:rFonts w:hint="eastAsia" w:ascii="仿宋" w:hAnsi="仿宋"/>
          <w:szCs w:val="30"/>
        </w:rPr>
        <w:t>②申报企业无外省集采中选价格的，企业接受不高于同组最低拟中选产品价格（如同组无其它产品中选，则不高于同品种最低拟中选价格）。</w:t>
      </w:r>
    </w:p>
    <w:p>
      <w:pPr>
        <w:pStyle w:val="3"/>
        <w:ind w:firstLine="600"/>
      </w:pPr>
      <w:bookmarkStart w:id="26" w:name="_Toc12469"/>
      <w:r>
        <w:rPr>
          <w:rFonts w:hint="eastAsia"/>
        </w:rPr>
        <w:t>三、报价要求</w:t>
      </w:r>
      <w:bookmarkEnd w:id="26"/>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一）申报价货币单位为人民币（元），保留小数点后2位（四舍五入）；以报名申报的包装单位（口服制剂按盒、注射剂按支）为计价单位进行报价。申报价为申报企业的实际供应价，应包括税费、配送费等在内的所有费用。</w:t>
      </w:r>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（二）申报价须不高于本企业在全国各省级采购平台的最低挂网价（不含近1年无实际销售记录的平台挂网价）和省级集采中选</w:t>
      </w:r>
      <w:r>
        <w:rPr>
          <w:rFonts w:hint="eastAsia" w:ascii="仿宋" w:hAnsi="仿宋"/>
          <w:szCs w:val="30"/>
          <w:highlight w:val="none"/>
          <w:lang w:val="en-US" w:eastAsia="zh-CN"/>
        </w:rPr>
        <w:t>/备选（备供）</w:t>
      </w:r>
      <w:r>
        <w:rPr>
          <w:rFonts w:hint="eastAsia" w:ascii="仿宋" w:hAnsi="仿宋"/>
          <w:szCs w:val="30"/>
        </w:rPr>
        <w:t>价格之间的低值（该低值为最高有效申报价）。未报价或报价为负值为零的，则视同企业放弃申报，由此引起的一切后果由申报企业自行负责。</w:t>
      </w:r>
    </w:p>
    <w:p>
      <w:pPr>
        <w:pBdr>
          <w:top w:val="none" w:color="auto" w:sz="0" w:space="1"/>
          <w:left w:val="none" w:color="auto" w:sz="0" w:space="4"/>
          <w:bottom w:val="none" w:color="auto" w:sz="0" w:space="1"/>
          <w:right w:val="none" w:color="auto" w:sz="0" w:space="4"/>
        </w:pBdr>
        <w:adjustRightInd w:val="0"/>
        <w:ind w:firstLine="600"/>
        <w:rPr>
          <w:rFonts w:hint="eastAsia" w:ascii="仿宋" w:hAnsi="仿宋"/>
          <w:szCs w:val="30"/>
        </w:rPr>
      </w:pPr>
      <w:r>
        <w:rPr>
          <w:rFonts w:hint="eastAsia" w:ascii="仿宋" w:hAnsi="仿宋"/>
          <w:szCs w:val="30"/>
        </w:rPr>
        <w:t>（三）采购品种目录内，申报企业须按规格作为竞价单元进行报价，同时须提供符合申报条件的“供应品种清单”。未在“供应品种清单”内的品规在联盟地区挂网须与中选药品价格保持差比价关系。如同</w:t>
      </w:r>
      <w:r>
        <w:rPr>
          <w:rFonts w:hint="eastAsia" w:ascii="仿宋" w:hAnsi="仿宋"/>
          <w:szCs w:val="30"/>
          <w:lang w:val="en-US" w:eastAsia="zh-CN"/>
        </w:rPr>
        <w:t>组内产品</w:t>
      </w:r>
      <w:r>
        <w:rPr>
          <w:rFonts w:hint="eastAsia" w:ascii="仿宋" w:hAnsi="仿宋"/>
          <w:szCs w:val="30"/>
        </w:rPr>
        <w:t>适应症不同，则分组报价。</w:t>
      </w:r>
    </w:p>
    <w:p>
      <w:pPr>
        <w:ind w:firstLine="600"/>
        <w:rPr>
          <w:rFonts w:hint="eastAsia" w:ascii="仿宋" w:hAnsi="仿宋"/>
          <w:szCs w:val="30"/>
        </w:rPr>
      </w:pPr>
      <w:r>
        <w:rPr>
          <w:rFonts w:hint="eastAsia" w:ascii="仿宋" w:hAnsi="仿宋"/>
          <w:szCs w:val="30"/>
        </w:rPr>
        <w:t>（四）</w:t>
      </w:r>
      <w:r>
        <w:rPr>
          <w:rFonts w:hint="eastAsia" w:ascii="仿宋" w:hAnsi="仿宋"/>
          <w:szCs w:val="30"/>
          <w:lang w:val="en-US" w:eastAsia="zh-CN"/>
        </w:rPr>
        <w:t>省公共资源交易中心</w:t>
      </w:r>
      <w:r>
        <w:rPr>
          <w:rFonts w:hint="eastAsia" w:ascii="仿宋" w:hAnsi="仿宋"/>
          <w:szCs w:val="30"/>
        </w:rPr>
        <w:t>参照药品差比价规则</w:t>
      </w:r>
      <w:r>
        <w:rPr>
          <w:rFonts w:hint="eastAsia" w:ascii="仿宋" w:hAnsi="仿宋"/>
          <w:szCs w:val="30"/>
          <w:lang w:val="en-US" w:eastAsia="zh-CN"/>
        </w:rPr>
        <w:t>将企业申报价</w:t>
      </w:r>
      <w:r>
        <w:rPr>
          <w:rFonts w:hint="eastAsia" w:ascii="仿宋" w:hAnsi="仿宋"/>
          <w:szCs w:val="30"/>
        </w:rPr>
        <w:t>折算至最小计量单位（指单片/单粒/单袋/单支/单瓶等）价格（保留小数点后4位，只舍不入）</w:t>
      </w:r>
      <w:r>
        <w:rPr>
          <w:rFonts w:hint="eastAsia" w:ascii="仿宋" w:hAnsi="仿宋"/>
          <w:szCs w:val="30"/>
          <w:lang w:eastAsia="zh-CN"/>
        </w:rPr>
        <w:t>，</w:t>
      </w:r>
      <w:r>
        <w:rPr>
          <w:rFonts w:hint="eastAsia" w:ascii="仿宋" w:hAnsi="仿宋"/>
          <w:szCs w:val="30"/>
          <w:lang w:val="en-US" w:eastAsia="zh-CN"/>
        </w:rPr>
        <w:t>计算商务标得分结果</w:t>
      </w:r>
      <w:r>
        <w:rPr>
          <w:rFonts w:hint="eastAsia" w:ascii="仿宋" w:hAnsi="仿宋"/>
          <w:szCs w:val="30"/>
        </w:rPr>
        <w:t>。</w:t>
      </w:r>
    </w:p>
    <w:p>
      <w:pPr>
        <w:ind w:firstLine="600"/>
        <w:rPr>
          <w:rFonts w:hint="eastAsia" w:ascii="仿宋" w:hAnsi="仿宋"/>
          <w:szCs w:val="30"/>
        </w:rPr>
      </w:pPr>
      <w:r>
        <w:rPr>
          <w:rFonts w:hint="eastAsia" w:ascii="仿宋" w:hAnsi="仿宋"/>
          <w:szCs w:val="30"/>
        </w:rPr>
        <w:t>（五）本次集采所涉药品差比价关系参照现有规则，根据剂型、规格（装量差异按照含量差比价计算）、包装数量计算，不考虑包装材料差异，不考虑冻干粉针、溶媒结晶粉针与小容量注射剂的差异。有下列情形的，按照以下原则执行：</w:t>
      </w:r>
    </w:p>
    <w:p>
      <w:pPr>
        <w:ind w:firstLine="600"/>
        <w:rPr>
          <w:rFonts w:hint="eastAsia" w:ascii="仿宋" w:hAnsi="仿宋"/>
          <w:szCs w:val="30"/>
        </w:rPr>
      </w:pPr>
      <w:r>
        <w:rPr>
          <w:rFonts w:hint="eastAsia" w:ascii="仿宋" w:hAnsi="仿宋"/>
          <w:szCs w:val="30"/>
        </w:rPr>
        <w:t>1.门冬氨酸钾镁注射剂、多种微量元素注射液和多种微量元素注射液（Ⅱ）差比价规则：</w:t>
      </w:r>
    </w:p>
    <w:p>
      <w:pPr>
        <w:ind w:firstLine="600"/>
        <w:rPr>
          <w:rFonts w:hint="eastAsia" w:ascii="仿宋" w:hAnsi="仿宋"/>
          <w:szCs w:val="30"/>
        </w:rPr>
      </w:pPr>
      <w:r>
        <w:rPr>
          <w:rFonts w:hint="eastAsia" w:ascii="仿宋" w:hAnsi="仿宋"/>
          <w:szCs w:val="30"/>
        </w:rPr>
        <w:t>①门冬氨酸钾镁（含门冬氨酸钾镁葡萄糖）注射剂按照各组分含量之和计算含量差比价（不计算葡萄糖等辅料组分含量），其中组分含量之和在852mg—1077mg之间的，统一按照1006mg计算；组分含量之和在1704mg—2012mg之间的，统一按照2012mg计算。</w:t>
      </w:r>
    </w:p>
    <w:p>
      <w:pPr>
        <w:ind w:firstLine="600"/>
        <w:rPr>
          <w:rFonts w:hint="eastAsia" w:ascii="仿宋" w:hAnsi="仿宋"/>
          <w:szCs w:val="30"/>
        </w:rPr>
      </w:pPr>
      <w:r>
        <w:rPr>
          <w:rFonts w:hint="eastAsia" w:ascii="仿宋" w:hAnsi="仿宋"/>
          <w:szCs w:val="30"/>
        </w:rPr>
        <w:t>②多种微量元素注射液和多种微量元素注射液（Ⅱ）按照日均治疗费用合并进行比价。日均治疗费用按说明书载明的用法用量计算，不考虑剂型规格的差比。</w:t>
      </w:r>
    </w:p>
    <w:p>
      <w:pPr>
        <w:ind w:firstLine="600"/>
        <w:rPr>
          <w:rFonts w:hint="eastAsia" w:ascii="仿宋" w:hAnsi="仿宋"/>
          <w:szCs w:val="30"/>
        </w:rPr>
      </w:pPr>
      <w:r>
        <w:rPr>
          <w:rFonts w:hint="eastAsia" w:ascii="仿宋" w:hAnsi="仿宋"/>
          <w:szCs w:val="30"/>
        </w:rPr>
        <w:t>2.复方聚乙二醇电解质散差比价规则：</w:t>
      </w:r>
    </w:p>
    <w:p>
      <w:pPr>
        <w:ind w:firstLine="600"/>
        <w:rPr>
          <w:rFonts w:hint="eastAsia" w:ascii="仿宋" w:hAnsi="仿宋"/>
          <w:szCs w:val="30"/>
        </w:rPr>
      </w:pPr>
      <w:r>
        <w:rPr>
          <w:rFonts w:hint="eastAsia" w:ascii="仿宋" w:hAnsi="仿宋"/>
          <w:szCs w:val="30"/>
        </w:rPr>
        <w:t>复方聚乙二醇电解质散（I）、复方聚乙二醇电解质散（Ⅱ）、复方聚乙二醇电解质散（Ⅲ）和复方聚乙二醇电解质散（Ⅳ）作为同品种同组产品参与本次集采活动，聚乙二醇4000含量作为价格差比依据。</w:t>
      </w:r>
    </w:p>
    <w:p>
      <w:pPr>
        <w:ind w:firstLine="600"/>
        <w:rPr>
          <w:rFonts w:hint="eastAsia" w:ascii="仿宋" w:hAnsi="仿宋"/>
          <w:szCs w:val="30"/>
        </w:rPr>
      </w:pPr>
      <w:r>
        <w:rPr>
          <w:rFonts w:hint="eastAsia" w:ascii="仿宋" w:hAnsi="仿宋"/>
          <w:szCs w:val="30"/>
        </w:rPr>
        <w:t>3.注射用脂溶性维生素Ⅱ/注射用水溶性维生素组合包装仅以注射用水溶性维生素进行报价。如拟中选，以该报价为基础加上注射用脂溶性维生素Ⅱ全国最低集采中选价</w:t>
      </w:r>
      <w:r>
        <w:rPr>
          <w:rFonts w:hint="eastAsia" w:ascii="仿宋" w:hAnsi="仿宋"/>
          <w:szCs w:val="30"/>
          <w:lang w:eastAsia="zh-CN"/>
        </w:rPr>
        <w:t>（</w:t>
      </w:r>
      <w:bookmarkStart w:id="27" w:name="OLE_LINK71"/>
      <w:r>
        <w:rPr>
          <w:rFonts w:hint="eastAsia" w:ascii="仿宋_GB2312" w:hAnsi="仿宋_GB2312" w:eastAsia="仿宋_GB2312" w:cs="仿宋_GB2312"/>
          <w:sz w:val="32"/>
          <w:szCs w:val="32"/>
          <w:lang w:val="en-US" w:eastAsia="zh-CN"/>
        </w:rPr>
        <w:t>若</w:t>
      </w:r>
      <w:bookmarkStart w:id="28" w:name="OLE_LINK73"/>
      <w:r>
        <w:rPr>
          <w:rFonts w:hint="eastAsia" w:ascii="仿宋_GB2312" w:hAnsi="仿宋_GB2312" w:eastAsia="仿宋_GB2312" w:cs="仿宋_GB2312"/>
          <w:sz w:val="32"/>
          <w:szCs w:val="32"/>
          <w:lang w:val="en-US" w:eastAsia="zh-CN"/>
        </w:rPr>
        <w:t>注射用</w:t>
      </w:r>
      <w:bookmarkEnd w:id="28"/>
      <w:r>
        <w:rPr>
          <w:rFonts w:hint="eastAsia" w:ascii="仿宋_GB2312" w:hAnsi="仿宋_GB2312" w:eastAsia="仿宋_GB2312" w:cs="仿宋_GB2312"/>
          <w:sz w:val="32"/>
          <w:szCs w:val="32"/>
          <w:lang w:val="en-US" w:eastAsia="zh-CN"/>
        </w:rPr>
        <w:t>水溶性维生素拟中选企业无注射用脂</w:t>
      </w:r>
      <w:bookmarkEnd w:id="27"/>
      <w:r>
        <w:rPr>
          <w:rFonts w:hint="eastAsia" w:ascii="仿宋_GB2312" w:hAnsi="仿宋_GB2312" w:eastAsia="仿宋_GB2312" w:cs="仿宋_GB2312"/>
          <w:sz w:val="32"/>
          <w:szCs w:val="32"/>
          <w:lang w:val="en-US" w:eastAsia="zh-CN"/>
        </w:rPr>
        <w:t>溶性维生素（</w:t>
      </w:r>
      <w:r>
        <w:rPr>
          <w:rFonts w:hint="eastAsia" w:ascii="仿宋" w:hAnsi="仿宋"/>
          <w:szCs w:val="30"/>
        </w:rPr>
        <w:t>Ⅱ</w:t>
      </w:r>
      <w:r>
        <w:rPr>
          <w:rFonts w:hint="eastAsia" w:ascii="仿宋_GB2312" w:hAnsi="仿宋_GB2312" w:eastAsia="仿宋_GB2312" w:cs="仿宋_GB2312"/>
          <w:sz w:val="32"/>
          <w:szCs w:val="32"/>
          <w:lang w:val="en-US" w:eastAsia="zh-CN"/>
        </w:rPr>
        <w:t>）集采中选价，则以其报价为基础加上我省已执行的注射用脂溶性维生素（</w:t>
      </w:r>
      <w:r>
        <w:rPr>
          <w:rFonts w:hint="eastAsia" w:ascii="仿宋" w:hAnsi="仿宋"/>
          <w:szCs w:val="30"/>
        </w:rPr>
        <w:t>Ⅱ</w:t>
      </w:r>
      <w:r>
        <w:rPr>
          <w:rFonts w:hint="eastAsia" w:ascii="仿宋_GB2312" w:hAnsi="仿宋_GB2312" w:eastAsia="仿宋_GB2312" w:cs="仿宋_GB2312"/>
          <w:sz w:val="32"/>
          <w:szCs w:val="32"/>
          <w:lang w:val="en-US" w:eastAsia="zh-CN"/>
        </w:rPr>
        <w:t>）同组最低集采中选价</w:t>
      </w:r>
      <w:r>
        <w:rPr>
          <w:rFonts w:hint="eastAsia" w:ascii="仿宋" w:hAnsi="仿宋"/>
          <w:szCs w:val="30"/>
          <w:lang w:eastAsia="zh-CN"/>
        </w:rPr>
        <w:t>）</w:t>
      </w:r>
      <w:r>
        <w:rPr>
          <w:rFonts w:hint="eastAsia" w:ascii="仿宋" w:hAnsi="仿宋"/>
          <w:szCs w:val="30"/>
        </w:rPr>
        <w:t>，即为该组合包装的拟中选价格。</w:t>
      </w:r>
    </w:p>
    <w:p>
      <w:pPr>
        <w:ind w:firstLine="600"/>
        <w:rPr>
          <w:rFonts w:hint="eastAsia" w:ascii="仿宋" w:hAnsi="仿宋"/>
          <w:szCs w:val="30"/>
        </w:rPr>
      </w:pPr>
      <w:r>
        <w:rPr>
          <w:rFonts w:hint="eastAsia" w:ascii="仿宋" w:hAnsi="仿宋"/>
          <w:szCs w:val="30"/>
        </w:rPr>
        <w:t>4.同规格中（以含量计），大容量注射剂与小容量注射剂每袋/瓶的差额以3元计；同品种中，同规格预灌封与安瓿瓶（西林瓶）包装瓶/支的差额以2.5元计。预灌封与安瓿瓶（西林瓶）注射剂同组竞争的品种，所涉最高有效申报价、比价计算过程及企业申报价均不包含差额。拟中选后，拟中选药品的价格由陕西省公共资源交易中心以报价品规为代表品，按药品差比价规则折算至相应规格的价格。</w:t>
      </w:r>
    </w:p>
    <w:p>
      <w:pPr>
        <w:pStyle w:val="27"/>
        <w:pBdr>
          <w:top w:val="none" w:color="auto" w:sz="0" w:space="1"/>
          <w:left w:val="none" w:color="auto" w:sz="0" w:space="4"/>
          <w:bottom w:val="none" w:color="auto" w:sz="0" w:space="1"/>
          <w:right w:val="none" w:color="auto" w:sz="0" w:space="4"/>
        </w:pBdr>
        <w:spacing w:line="560" w:lineRule="exact"/>
        <w:ind w:firstLine="600" w:firstLineChars="200"/>
        <w:jc w:val="both"/>
        <w:rPr>
          <w:rFonts w:hint="default" w:ascii="仿宋" w:hAnsi="仿宋" w:eastAsia="仿宋" w:cs="仿宋"/>
          <w:color w:val="auto"/>
          <w:kern w:val="2"/>
          <w:sz w:val="30"/>
          <w:szCs w:val="30"/>
          <w:highlight w:val="none"/>
          <w:lang w:val="en-US" w:eastAsia="zh-CN"/>
        </w:rPr>
      </w:pPr>
      <w:r>
        <w:rPr>
          <w:rFonts w:hint="eastAsia" w:ascii="仿宋" w:hAnsi="仿宋" w:eastAsia="仿宋" w:cs="Times New Roman"/>
          <w:color w:val="auto"/>
          <w:kern w:val="2"/>
          <w:sz w:val="30"/>
          <w:szCs w:val="30"/>
          <w:highlight w:val="none"/>
        </w:rPr>
        <w:t>（六）</w:t>
      </w:r>
      <w:r>
        <w:rPr>
          <w:rFonts w:hint="eastAsia" w:ascii="仿宋" w:hAnsi="仿宋" w:eastAsia="仿宋" w:cs="仿宋"/>
          <w:color w:val="auto"/>
          <w:kern w:val="2"/>
          <w:sz w:val="30"/>
          <w:szCs w:val="30"/>
          <w:highlight w:val="none"/>
          <w:lang w:val="en-US" w:eastAsia="zh-CN"/>
        </w:rPr>
        <w:t>多种微量元素注射液、多种微量元素注射液</w:t>
      </w:r>
      <w:r>
        <w:rPr>
          <w:rFonts w:hint="eastAsia" w:ascii="仿宋" w:hAnsi="仿宋" w:eastAsia="仿宋" w:cs="仿宋"/>
          <w:sz w:val="30"/>
          <w:szCs w:val="30"/>
          <w:highlight w:val="none"/>
        </w:rPr>
        <w:t>（Ⅱ）</w:t>
      </w:r>
      <w:r>
        <w:rPr>
          <w:rFonts w:hint="eastAsia" w:ascii="仿宋" w:hAnsi="仿宋" w:eastAsia="仿宋" w:cs="仿宋"/>
          <w:sz w:val="30"/>
          <w:szCs w:val="30"/>
          <w:highlight w:val="none"/>
          <w:lang w:val="en-US" w:eastAsia="zh-CN"/>
        </w:rPr>
        <w:t>和</w:t>
      </w:r>
      <w:r>
        <w:rPr>
          <w:rFonts w:hint="eastAsia" w:ascii="仿宋" w:hAnsi="仿宋" w:eastAsia="仿宋" w:cs="仿宋"/>
          <w:sz w:val="30"/>
          <w:szCs w:val="30"/>
          <w:highlight w:val="none"/>
        </w:rPr>
        <w:t>复方聚乙二醇电解质散</w:t>
      </w:r>
      <w:r>
        <w:rPr>
          <w:rFonts w:hint="eastAsia" w:ascii="仿宋" w:hAnsi="仿宋" w:eastAsia="仿宋" w:cs="仿宋"/>
          <w:sz w:val="30"/>
          <w:szCs w:val="30"/>
          <w:highlight w:val="none"/>
          <w:lang w:val="en-US" w:eastAsia="zh-CN"/>
        </w:rPr>
        <w:t>申报企业按申报产品报价，由省公共资源交易中心按照文件规定的差比价要求折算至代表品规格，按照商务标评分规则进行同组比价。</w:t>
      </w:r>
    </w:p>
    <w:p>
      <w:pPr>
        <w:pStyle w:val="27"/>
        <w:pBdr>
          <w:top w:val="none" w:color="auto" w:sz="0" w:space="1"/>
          <w:left w:val="none" w:color="auto" w:sz="0" w:space="4"/>
          <w:bottom w:val="none" w:color="auto" w:sz="0" w:space="1"/>
          <w:right w:val="none" w:color="auto" w:sz="0" w:space="4"/>
        </w:pBdr>
        <w:spacing w:line="560" w:lineRule="exact"/>
        <w:ind w:firstLine="600" w:firstLineChars="200"/>
        <w:jc w:val="both"/>
        <w:rPr>
          <w:rFonts w:hint="eastAsia" w:ascii="仿宋" w:hAnsi="仿宋" w:eastAsia="仿宋" w:cs="Times New Roman"/>
          <w:color w:val="auto"/>
          <w:kern w:val="2"/>
          <w:sz w:val="30"/>
          <w:szCs w:val="30"/>
        </w:rPr>
      </w:pPr>
      <w:r>
        <w:rPr>
          <w:rFonts w:hint="eastAsia" w:ascii="仿宋" w:hAnsi="仿宋" w:eastAsia="仿宋" w:cs="Times New Roman"/>
          <w:color w:val="auto"/>
          <w:kern w:val="2"/>
          <w:sz w:val="30"/>
          <w:szCs w:val="30"/>
        </w:rPr>
        <w:t>（</w:t>
      </w:r>
      <w:r>
        <w:rPr>
          <w:rFonts w:hint="eastAsia" w:ascii="仿宋" w:hAnsi="仿宋" w:eastAsia="仿宋" w:cs="Times New Roman"/>
          <w:color w:val="auto"/>
          <w:kern w:val="2"/>
          <w:sz w:val="30"/>
          <w:szCs w:val="30"/>
          <w:lang w:val="en-US" w:eastAsia="zh-CN"/>
        </w:rPr>
        <w:t>七</w:t>
      </w:r>
      <w:r>
        <w:rPr>
          <w:rFonts w:hint="eastAsia" w:ascii="仿宋" w:hAnsi="仿宋" w:eastAsia="仿宋" w:cs="Times New Roman"/>
          <w:color w:val="auto"/>
          <w:kern w:val="2"/>
          <w:sz w:val="30"/>
          <w:szCs w:val="30"/>
        </w:rPr>
        <w:t>）申报同品种的不同企业存在关联关系情形的，涉及企业其同品种申报价须一致。不一致的，仅申报价最低的企业为有效申报企业，其价格为有效申报价，其他申报企业为无效申报企业。</w:t>
      </w:r>
    </w:p>
    <w:p>
      <w:pPr>
        <w:pBdr>
          <w:top w:val="none" w:color="auto" w:sz="0" w:space="1"/>
          <w:left w:val="none" w:color="auto" w:sz="0" w:space="4"/>
          <w:bottom w:val="none" w:color="auto" w:sz="0" w:space="1"/>
          <w:right w:val="none" w:color="auto" w:sz="0" w:space="4"/>
        </w:pBdr>
        <w:ind w:firstLine="600"/>
        <w:rPr>
          <w:rFonts w:hint="eastAsia" w:ascii="仿宋" w:hAnsi="仿宋"/>
          <w:szCs w:val="30"/>
        </w:rPr>
      </w:pPr>
      <w:r>
        <w:rPr>
          <w:rFonts w:hint="eastAsia" w:ascii="仿宋" w:hAnsi="仿宋"/>
          <w:szCs w:val="30"/>
        </w:rPr>
        <w:t>（</w:t>
      </w:r>
      <w:r>
        <w:rPr>
          <w:rFonts w:hint="eastAsia" w:ascii="仿宋" w:hAnsi="仿宋"/>
          <w:szCs w:val="30"/>
          <w:lang w:val="en-US" w:eastAsia="zh-CN"/>
        </w:rPr>
        <w:t>八</w:t>
      </w:r>
      <w:r>
        <w:rPr>
          <w:rFonts w:hint="eastAsia" w:ascii="仿宋" w:hAnsi="仿宋"/>
          <w:szCs w:val="30"/>
        </w:rPr>
        <w:t>）虚假申报各省级集采中选结果或省级采购平台阳光挂网价格的，一经查实，取消该产品本次集采申报资格和采购周期内联盟地区挂网资格；两个及以上产品虚假申报的，取消该企业的申报资格和采购周期内联盟地区挂网资格。</w:t>
      </w:r>
    </w:p>
    <w:p>
      <w:pPr>
        <w:pStyle w:val="3"/>
        <w:ind w:firstLine="600"/>
      </w:pPr>
      <w:bookmarkStart w:id="29" w:name="_Toc16034"/>
      <w:r>
        <w:rPr>
          <w:rFonts w:hint="eastAsia"/>
        </w:rPr>
        <w:t>四、申报材料编制要求及构成</w:t>
      </w:r>
      <w:bookmarkEnd w:id="29"/>
    </w:p>
    <w:p>
      <w:pPr>
        <w:pStyle w:val="15"/>
        <w:spacing w:line="560" w:lineRule="exact"/>
        <w:ind w:right="0" w:firstLine="616" w:firstLineChars="200"/>
        <w:rPr>
          <w:rFonts w:hint="eastAsia" w:ascii="仿宋" w:hAnsi="仿宋" w:eastAsia="仿宋"/>
          <w:sz w:val="30"/>
          <w:szCs w:val="30"/>
        </w:rPr>
      </w:pPr>
      <w:bookmarkStart w:id="30" w:name="_Toc20023"/>
      <w:r>
        <w:rPr>
          <w:rFonts w:hint="eastAsia" w:ascii="仿宋" w:hAnsi="仿宋" w:eastAsia="仿宋"/>
          <w:sz w:val="30"/>
          <w:szCs w:val="30"/>
        </w:rPr>
        <w:t>（一）编制要求</w:t>
      </w:r>
      <w:bookmarkEnd w:id="30"/>
    </w:p>
    <w:p>
      <w:pPr>
        <w:snapToGrid w:val="0"/>
        <w:ind w:firstLine="600"/>
        <w:rPr>
          <w:rFonts w:ascii="仿宋" w:hAnsi="仿宋"/>
          <w:szCs w:val="30"/>
        </w:rPr>
      </w:pPr>
      <w:r>
        <w:rPr>
          <w:rFonts w:hint="eastAsia" w:ascii="仿宋" w:hAnsi="仿宋"/>
          <w:szCs w:val="30"/>
        </w:rPr>
        <w:t>1.申报企业应仔细阅读采购文件内容，按采购文件要求提供申报材料，并保证所提供的全部材料真实有效。如果申报企业没有按照采购文件的要求提交完整材料，或者申报材料没有对采购文件做出响应，或者申报材料内容不实等，由此造成的后果由申报企业负责。</w:t>
      </w:r>
    </w:p>
    <w:p>
      <w:pPr>
        <w:snapToGrid w:val="0"/>
        <w:ind w:firstLine="600"/>
        <w:rPr>
          <w:rFonts w:hint="eastAsia" w:ascii="仿宋" w:hAnsi="仿宋"/>
          <w:szCs w:val="30"/>
        </w:rPr>
      </w:pPr>
      <w:r>
        <w:rPr>
          <w:rFonts w:hint="eastAsia" w:ascii="仿宋" w:hAnsi="仿宋"/>
          <w:szCs w:val="30"/>
        </w:rPr>
        <w:t>2.所有申报产品均须提交经济技术标评审材料和报价材料，提交不完整的，按弃标处理。</w:t>
      </w:r>
    </w:p>
    <w:p>
      <w:pPr>
        <w:snapToGrid w:val="0"/>
        <w:ind w:firstLine="600"/>
        <w:rPr>
          <w:rFonts w:hint="eastAsia" w:ascii="仿宋" w:hAnsi="仿宋"/>
          <w:szCs w:val="30"/>
        </w:rPr>
      </w:pPr>
      <w:r>
        <w:rPr>
          <w:rFonts w:hint="eastAsia" w:ascii="仿宋" w:hAnsi="仿宋"/>
          <w:szCs w:val="30"/>
        </w:rPr>
        <w:t>3.申报材料每页均须加盖企业公章。</w:t>
      </w:r>
    </w:p>
    <w:p>
      <w:pPr>
        <w:pStyle w:val="15"/>
        <w:spacing w:line="560" w:lineRule="exact"/>
        <w:ind w:right="0" w:firstLine="616" w:firstLineChars="200"/>
        <w:rPr>
          <w:rFonts w:hint="eastAsia" w:ascii="仿宋" w:hAnsi="仿宋" w:eastAsia="仿宋"/>
          <w:sz w:val="30"/>
          <w:szCs w:val="30"/>
        </w:rPr>
      </w:pPr>
      <w:bookmarkStart w:id="31" w:name="_Toc12385"/>
      <w:r>
        <w:rPr>
          <w:rFonts w:hint="eastAsia" w:ascii="仿宋" w:hAnsi="仿宋" w:eastAsia="仿宋"/>
          <w:sz w:val="30"/>
          <w:szCs w:val="30"/>
        </w:rPr>
        <w:t>（二）申报语言、药品名称、药品规格表示和计量单位</w:t>
      </w:r>
    </w:p>
    <w:p>
      <w:pPr>
        <w:snapToGrid w:val="0"/>
        <w:ind w:firstLine="600"/>
        <w:rPr>
          <w:rFonts w:hint="eastAsia" w:ascii="仿宋" w:hAnsi="仿宋"/>
          <w:szCs w:val="30"/>
        </w:rPr>
      </w:pPr>
      <w:r>
        <w:rPr>
          <w:rFonts w:hint="eastAsia" w:ascii="仿宋" w:hAnsi="仿宋"/>
          <w:szCs w:val="30"/>
        </w:rPr>
        <w:t>1.申报企业向省公共资源交易中心申报递交的材料、交换的文件均使用中文。外文资料必须提供相应的中文翻译文本，且须经公证处公证。</w:t>
      </w:r>
    </w:p>
    <w:p>
      <w:pPr>
        <w:snapToGrid w:val="0"/>
        <w:ind w:firstLine="600"/>
        <w:rPr>
          <w:rFonts w:hint="eastAsia" w:ascii="仿宋" w:hAnsi="仿宋"/>
          <w:szCs w:val="30"/>
        </w:rPr>
      </w:pPr>
      <w:r>
        <w:rPr>
          <w:rFonts w:hint="eastAsia" w:ascii="仿宋" w:hAnsi="仿宋"/>
          <w:szCs w:val="30"/>
        </w:rPr>
        <w:t>2.除申报材料中对技术规格另有规定外，应使用中华人民共和国法定计量单位和有关部门规定的药品规格表示方法。</w:t>
      </w:r>
    </w:p>
    <w:p>
      <w:pPr>
        <w:pStyle w:val="15"/>
        <w:spacing w:line="560" w:lineRule="exact"/>
        <w:ind w:right="0" w:firstLine="600" w:firstLineChars="200"/>
        <w:rPr>
          <w:rFonts w:hint="eastAsia" w:ascii="仿宋" w:hAnsi="仿宋" w:eastAsia="仿宋"/>
          <w:spacing w:val="0"/>
          <w:sz w:val="30"/>
          <w:szCs w:val="30"/>
        </w:rPr>
      </w:pPr>
      <w:r>
        <w:rPr>
          <w:rFonts w:hint="eastAsia" w:ascii="仿宋" w:hAnsi="仿宋" w:eastAsia="仿宋"/>
          <w:spacing w:val="0"/>
          <w:sz w:val="30"/>
          <w:szCs w:val="30"/>
        </w:rPr>
        <w:t>（三）申报材料构成</w:t>
      </w:r>
    </w:p>
    <w:p>
      <w:pPr>
        <w:pStyle w:val="15"/>
        <w:spacing w:line="560" w:lineRule="exact"/>
        <w:ind w:right="0" w:firstLine="600" w:firstLineChars="200"/>
        <w:rPr>
          <w:rFonts w:hint="eastAsia" w:ascii="仿宋" w:hAnsi="仿宋" w:eastAsia="仿宋"/>
          <w:spacing w:val="0"/>
          <w:sz w:val="30"/>
          <w:szCs w:val="30"/>
        </w:rPr>
      </w:pPr>
      <w:r>
        <w:rPr>
          <w:rFonts w:hint="eastAsia" w:ascii="仿宋" w:hAnsi="仿宋" w:eastAsia="仿宋"/>
          <w:spacing w:val="0"/>
          <w:sz w:val="30"/>
          <w:szCs w:val="30"/>
        </w:rPr>
        <w:t>1.</w:t>
      </w:r>
      <w:r>
        <w:rPr>
          <w:rFonts w:hint="eastAsia" w:ascii="仿宋" w:hAnsi="仿宋" w:eastAsia="仿宋"/>
          <w:spacing w:val="0"/>
          <w:sz w:val="30"/>
          <w:szCs w:val="30"/>
          <w:lang w:val="en-US" w:eastAsia="zh-CN"/>
        </w:rPr>
        <w:t>十四</w:t>
      </w:r>
      <w:r>
        <w:rPr>
          <w:rFonts w:hint="eastAsia" w:ascii="仿宋" w:hAnsi="仿宋" w:eastAsia="仿宋"/>
          <w:spacing w:val="0"/>
          <w:sz w:val="30"/>
          <w:szCs w:val="30"/>
        </w:rPr>
        <w:t>省（</w:t>
      </w:r>
      <w:r>
        <w:rPr>
          <w:rFonts w:hint="eastAsia" w:ascii="仿宋" w:hAnsi="仿宋" w:eastAsia="仿宋"/>
          <w:spacing w:val="0"/>
          <w:sz w:val="30"/>
          <w:szCs w:val="30"/>
          <w:lang w:val="en-US" w:eastAsia="zh-CN"/>
        </w:rPr>
        <w:t>区、兵团</w:t>
      </w:r>
      <w:r>
        <w:rPr>
          <w:rFonts w:hint="eastAsia" w:ascii="仿宋" w:hAnsi="仿宋" w:eastAsia="仿宋"/>
          <w:spacing w:val="0"/>
          <w:sz w:val="30"/>
          <w:szCs w:val="30"/>
        </w:rPr>
        <w:t>）药品集中带量采购申报函（见附件1）；</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2.法定代表人授权书（见附件2）；</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3.药品申报企业承诺函（见附件3）；</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4.供应品种清单（报价通知另附）；</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5.企业关联关系申报表（详见评审资料申报通知附件）；</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6.经济技术标评分材料构成如下：</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6.1技术标评分信息申报表（详见评审资料申报通知附件）；</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6.2评分信息证明材料；</w:t>
      </w:r>
    </w:p>
    <w:p>
      <w:pPr>
        <w:pStyle w:val="15"/>
        <w:spacing w:line="560" w:lineRule="exact"/>
        <w:ind w:right="0" w:firstLine="600" w:firstLineChars="200"/>
        <w:rPr>
          <w:rFonts w:hint="eastAsia" w:ascii="仿宋" w:hAnsi="仿宋" w:eastAsia="仿宋"/>
          <w:spacing w:val="0"/>
          <w:sz w:val="30"/>
          <w:szCs w:val="30"/>
          <w:lang w:eastAsia="zh-CN"/>
        </w:rPr>
      </w:pPr>
      <w:r>
        <w:rPr>
          <w:rFonts w:hint="eastAsia" w:ascii="仿宋" w:hAnsi="仿宋" w:eastAsia="仿宋" w:cs="Times New Roman"/>
          <w:spacing w:val="0"/>
          <w:kern w:val="2"/>
          <w:sz w:val="30"/>
          <w:szCs w:val="30"/>
          <w:lang w:val="en-US" w:eastAsia="zh-CN" w:bidi="ar-SA"/>
        </w:rPr>
        <w:t>7.申报产品报价表（报价通知另附）。</w:t>
      </w:r>
    </w:p>
    <w:p>
      <w:pPr>
        <w:snapToGrid w:val="0"/>
        <w:ind w:firstLine="600"/>
        <w:rPr>
          <w:rFonts w:hint="eastAsia" w:ascii="仿宋" w:hAnsi="仿宋"/>
          <w:szCs w:val="30"/>
        </w:rPr>
      </w:pPr>
      <w:r>
        <w:rPr>
          <w:rFonts w:hint="eastAsia" w:ascii="仿宋" w:hAnsi="仿宋"/>
          <w:szCs w:val="30"/>
        </w:rPr>
        <w:t>（四）申报材料样式要求</w:t>
      </w:r>
    </w:p>
    <w:p>
      <w:pPr>
        <w:snapToGrid w:val="0"/>
        <w:ind w:firstLine="600"/>
        <w:rPr>
          <w:rFonts w:hint="eastAsia" w:ascii="仿宋" w:hAnsi="仿宋"/>
          <w:szCs w:val="30"/>
        </w:rPr>
      </w:pPr>
      <w:r>
        <w:rPr>
          <w:rFonts w:hint="eastAsia" w:ascii="仿宋" w:hAnsi="仿宋"/>
          <w:szCs w:val="30"/>
        </w:rPr>
        <w:t>1.申报材料须打印或用不褪色书写工具书写。</w:t>
      </w:r>
    </w:p>
    <w:p>
      <w:pPr>
        <w:snapToGrid w:val="0"/>
        <w:ind w:firstLine="600"/>
        <w:rPr>
          <w:rFonts w:hint="eastAsia" w:ascii="仿宋" w:hAnsi="仿宋"/>
          <w:szCs w:val="30"/>
        </w:rPr>
      </w:pPr>
      <w:r>
        <w:rPr>
          <w:rFonts w:hint="eastAsia" w:ascii="仿宋" w:hAnsi="仿宋"/>
          <w:szCs w:val="30"/>
        </w:rPr>
        <w:t>2.申报企业除对笔误等作勘误外，不得行间插字、涂改或增删，如有修改错漏处，必须由企业法定代表人或其授权代表签字或盖章。</w:t>
      </w:r>
    </w:p>
    <w:bookmarkEnd w:id="31"/>
    <w:p>
      <w:pPr>
        <w:pStyle w:val="3"/>
        <w:ind w:firstLine="600"/>
      </w:pPr>
      <w:bookmarkStart w:id="32" w:name="_Toc4051"/>
      <w:r>
        <w:rPr>
          <w:rFonts w:hint="eastAsia"/>
        </w:rPr>
        <w:t>五、申报材料封装及递交要求</w:t>
      </w:r>
      <w:bookmarkEnd w:id="32"/>
    </w:p>
    <w:p>
      <w:pPr>
        <w:snapToGrid w:val="0"/>
        <w:ind w:firstLine="600"/>
        <w:rPr>
          <w:rFonts w:hint="eastAsia" w:ascii="仿宋" w:hAnsi="仿宋"/>
          <w:szCs w:val="30"/>
        </w:rPr>
      </w:pPr>
      <w:bookmarkStart w:id="33" w:name="_Toc214"/>
      <w:bookmarkStart w:id="34" w:name="_Toc28835"/>
      <w:r>
        <w:rPr>
          <w:rFonts w:hint="eastAsia" w:ascii="仿宋" w:hAnsi="仿宋"/>
          <w:szCs w:val="30"/>
        </w:rPr>
        <w:t>（一）封装及标记</w:t>
      </w:r>
    </w:p>
    <w:p>
      <w:pPr>
        <w:pStyle w:val="15"/>
        <w:spacing w:line="560" w:lineRule="exact"/>
        <w:ind w:right="0" w:firstLine="600" w:firstLineChars="200"/>
        <w:rPr>
          <w:rFonts w:hint="default"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1.经济技术标评分材料</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申报企业将纸质版法定代表人授权书、申报函、承诺函、关联关系申报表（按需提供）、技术标评分信息申报表（另需同时提供Excel版）和评分信息证明材料各1份装订成册。</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2.报价材料</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2.1将一份纸质版“申报产品报价表”和“供应品种清单”与装有电子版“申报产品报价表”和“供应品种清单”（Excel</w:t>
      </w:r>
      <w:bookmarkStart w:id="48" w:name="_GoBack"/>
      <w:bookmarkEnd w:id="48"/>
      <w:r>
        <w:rPr>
          <w:rFonts w:hint="eastAsia" w:ascii="仿宋" w:hAnsi="仿宋" w:eastAsia="仿宋" w:cs="Times New Roman"/>
          <w:spacing w:val="0"/>
          <w:kern w:val="2"/>
          <w:sz w:val="30"/>
          <w:szCs w:val="30"/>
          <w:lang w:val="en-US" w:eastAsia="zh-CN" w:bidi="ar-SA"/>
        </w:rPr>
        <w:t>版）的U盘（不得装有其他材料）共同装入1个档案袋密封，档案袋上粘贴“申报信息一览表信封封面样张”，并标记报价表。</w:t>
      </w:r>
    </w:p>
    <w:p>
      <w:pPr>
        <w:pStyle w:val="15"/>
        <w:spacing w:line="560" w:lineRule="exact"/>
        <w:ind w:right="0" w:firstLine="600" w:firstLineChars="200"/>
        <w:rPr>
          <w:rFonts w:hint="eastAsia" w:ascii="仿宋" w:hAnsi="仿宋" w:eastAsia="仿宋" w:cs="Times New Roman"/>
          <w:spacing w:val="0"/>
          <w:kern w:val="2"/>
          <w:sz w:val="30"/>
          <w:szCs w:val="30"/>
          <w:lang w:val="en-US" w:eastAsia="zh-CN" w:bidi="ar-SA"/>
        </w:rPr>
      </w:pPr>
      <w:r>
        <w:rPr>
          <w:rFonts w:hint="eastAsia" w:ascii="仿宋" w:hAnsi="仿宋" w:eastAsia="仿宋" w:cs="Times New Roman"/>
          <w:spacing w:val="0"/>
          <w:kern w:val="2"/>
          <w:sz w:val="30"/>
          <w:szCs w:val="30"/>
          <w:lang w:val="en-US" w:eastAsia="zh-CN" w:bidi="ar-SA"/>
        </w:rPr>
        <w:t>3.申报资料的纸质版与电子版须保持一致，不一致的，以纸质版为准。</w:t>
      </w:r>
    </w:p>
    <w:p>
      <w:pPr>
        <w:snapToGrid w:val="0"/>
        <w:ind w:firstLine="600"/>
        <w:rPr>
          <w:rFonts w:hint="eastAsia" w:ascii="仿宋" w:hAnsi="仿宋"/>
          <w:szCs w:val="30"/>
        </w:rPr>
      </w:pPr>
      <w:r>
        <w:rPr>
          <w:rFonts w:hint="eastAsia" w:ascii="仿宋" w:hAnsi="仿宋"/>
          <w:szCs w:val="30"/>
        </w:rPr>
        <w:t>（二）递交要求</w:t>
      </w:r>
    </w:p>
    <w:p>
      <w:pPr>
        <w:snapToGrid w:val="0"/>
        <w:ind w:firstLine="600"/>
        <w:rPr>
          <w:rFonts w:hint="eastAsia" w:ascii="仿宋" w:hAnsi="仿宋"/>
          <w:szCs w:val="30"/>
        </w:rPr>
      </w:pPr>
      <w:r>
        <w:rPr>
          <w:rFonts w:hint="eastAsia" w:ascii="仿宋" w:hAnsi="仿宋"/>
          <w:szCs w:val="30"/>
        </w:rPr>
        <w:t>1.申报企业在规定的递交地点和时间，现场递交全部申报材料。</w:t>
      </w:r>
    </w:p>
    <w:p>
      <w:pPr>
        <w:snapToGrid w:val="0"/>
        <w:ind w:firstLine="616"/>
        <w:rPr>
          <w:rFonts w:hint="eastAsia" w:ascii="仿宋" w:hAnsi="仿宋"/>
          <w:spacing w:val="4"/>
          <w:szCs w:val="30"/>
        </w:rPr>
      </w:pPr>
      <w:r>
        <w:rPr>
          <w:rFonts w:hint="eastAsia" w:ascii="仿宋" w:hAnsi="仿宋"/>
          <w:spacing w:val="4"/>
          <w:szCs w:val="30"/>
        </w:rPr>
        <w:t>2.如果档案袋密封不严，申报材料提前启封的，视同无效材料，由此造成的一切后果，</w:t>
      </w:r>
      <w:r>
        <w:rPr>
          <w:rFonts w:hint="eastAsia" w:ascii="仿宋" w:hAnsi="仿宋"/>
          <w:color w:val="000000" w:themeColor="text1"/>
          <w:szCs w:val="30"/>
        </w:rPr>
        <w:t>由申报企业自行负责。省公共资源交易中心对申报材料非人为因素过早启封概不负责。</w:t>
      </w:r>
      <w:r>
        <w:rPr>
          <w:rFonts w:ascii="仿宋" w:hAnsi="仿宋"/>
          <w:spacing w:val="4"/>
          <w:szCs w:val="30"/>
        </w:rPr>
        <w:t xml:space="preserve"> </w:t>
      </w:r>
    </w:p>
    <w:p>
      <w:pPr>
        <w:snapToGrid w:val="0"/>
        <w:ind w:firstLine="616"/>
        <w:rPr>
          <w:rFonts w:hint="eastAsia" w:ascii="仿宋" w:hAnsi="仿宋"/>
          <w:spacing w:val="4"/>
          <w:szCs w:val="30"/>
        </w:rPr>
      </w:pPr>
      <w:r>
        <w:rPr>
          <w:rFonts w:hint="eastAsia" w:ascii="仿宋" w:hAnsi="仿宋"/>
          <w:spacing w:val="4"/>
          <w:szCs w:val="30"/>
        </w:rPr>
        <w:t>（三）申报截止时间</w:t>
      </w:r>
    </w:p>
    <w:p>
      <w:pPr>
        <w:spacing w:line="579" w:lineRule="exact"/>
        <w:ind w:firstLine="600"/>
        <w:rPr>
          <w:rFonts w:hint="eastAsia" w:ascii="仿宋" w:hAnsi="仿宋"/>
          <w:color w:val="000000" w:themeColor="text1"/>
          <w:szCs w:val="30"/>
        </w:rPr>
      </w:pPr>
      <w:r>
        <w:rPr>
          <w:rFonts w:hint="eastAsia" w:ascii="仿宋" w:hAnsi="仿宋"/>
          <w:color w:val="000000" w:themeColor="text1"/>
          <w:szCs w:val="30"/>
        </w:rPr>
        <w:t>1.省公共资源交易中心拒绝接收申报时间截止后递交的任何申报材料。</w:t>
      </w:r>
    </w:p>
    <w:p>
      <w:pPr>
        <w:snapToGrid w:val="0"/>
        <w:ind w:firstLine="600"/>
        <w:rPr>
          <w:rFonts w:hint="eastAsia" w:ascii="仿宋" w:hAnsi="仿宋"/>
          <w:color w:val="000000" w:themeColor="text1"/>
          <w:szCs w:val="30"/>
        </w:rPr>
      </w:pPr>
      <w:r>
        <w:rPr>
          <w:rFonts w:hint="eastAsia" w:ascii="仿宋" w:hAnsi="仿宋"/>
          <w:color w:val="000000" w:themeColor="text1"/>
          <w:szCs w:val="30"/>
        </w:rPr>
        <w:t>2.申报时间截止后，除省公共资源交易中心要求就申报材料进行补充说明以外，申报企业不得对其已申报</w:t>
      </w:r>
      <w:r>
        <w:rPr>
          <w:rFonts w:hint="eastAsia" w:ascii="仿宋" w:hAnsi="仿宋"/>
          <w:color w:val="000000" w:themeColor="text1"/>
          <w:szCs w:val="30"/>
          <w:lang w:val="en-US" w:eastAsia="zh-CN"/>
        </w:rPr>
        <w:t>的</w:t>
      </w:r>
      <w:r>
        <w:rPr>
          <w:rFonts w:hint="eastAsia" w:ascii="仿宋" w:hAnsi="仿宋"/>
          <w:color w:val="000000" w:themeColor="text1"/>
          <w:szCs w:val="30"/>
        </w:rPr>
        <w:t>材料做任何修改。</w:t>
      </w:r>
    </w:p>
    <w:p>
      <w:pPr>
        <w:pStyle w:val="3"/>
        <w:ind w:firstLine="600"/>
      </w:pPr>
      <w:bookmarkStart w:id="35" w:name="_Toc22981"/>
      <w:r>
        <w:rPr>
          <w:rFonts w:hint="eastAsia"/>
        </w:rPr>
        <w:t>六、申报信息公开</w:t>
      </w:r>
      <w:bookmarkEnd w:id="33"/>
      <w:bookmarkEnd w:id="35"/>
    </w:p>
    <w:bookmarkEnd w:id="34"/>
    <w:p>
      <w:pPr>
        <w:snapToGrid w:val="0"/>
        <w:ind w:firstLine="600"/>
        <w:rPr>
          <w:rFonts w:hint="eastAsia" w:ascii="仿宋" w:hAnsi="仿宋" w:eastAsia="仿宋" w:cs="Times New Roman"/>
          <w:spacing w:val="0"/>
          <w:kern w:val="2"/>
          <w:sz w:val="30"/>
          <w:szCs w:val="30"/>
          <w:lang w:val="en-US" w:eastAsia="zh-CN" w:bidi="ar-SA"/>
        </w:rPr>
      </w:pPr>
      <w:r>
        <w:rPr>
          <w:rFonts w:hint="eastAsia" w:ascii="仿宋" w:hAnsi="仿宋"/>
          <w:color w:val="000000" w:themeColor="text1"/>
          <w:szCs w:val="30"/>
        </w:rPr>
        <w:t>（一）拟中选结果公示。</w:t>
      </w:r>
      <w:r>
        <w:rPr>
          <w:rFonts w:hint="eastAsia" w:ascii="仿宋" w:hAnsi="仿宋" w:eastAsia="仿宋" w:cs="Times New Roman"/>
          <w:spacing w:val="0"/>
          <w:kern w:val="2"/>
          <w:sz w:val="30"/>
          <w:szCs w:val="30"/>
          <w:lang w:val="en-US" w:eastAsia="zh-CN" w:bidi="ar-SA"/>
        </w:rPr>
        <w:t>拟中选结果同步在国家医保局网站、陕西省医保局网站和省采购平台予以公示，并在规定时间内接受实名制申投诉。申投诉应在公示期间提出，并依法依规提供合法有效证据材料。未提供相应证据材料或公示期结束后提出申投诉的，原则上不予受理。如拟中选企业被取消拟中选资格，不再递补增加拟中选企业，不影响其他企业拟中选。</w:t>
      </w:r>
    </w:p>
    <w:p>
      <w:pPr>
        <w:snapToGrid w:val="0"/>
        <w:ind w:firstLine="600"/>
        <w:rPr>
          <w:rFonts w:hint="eastAsia" w:ascii="仿宋" w:hAnsi="仿宋" w:cs="Times New Roman"/>
          <w:color w:val="000000" w:themeColor="text1"/>
          <w:szCs w:val="30"/>
        </w:rPr>
      </w:pPr>
      <w:r>
        <w:rPr>
          <w:rFonts w:hint="eastAsia" w:ascii="仿宋" w:hAnsi="仿宋"/>
          <w:color w:val="000000" w:themeColor="text1"/>
          <w:szCs w:val="30"/>
        </w:rPr>
        <w:t>（二）中选结果公布。</w:t>
      </w:r>
      <w:r>
        <w:rPr>
          <w:rFonts w:hint="eastAsia" w:ascii="仿宋" w:hAnsi="仿宋" w:cs="Times New Roman"/>
          <w:color w:val="000000" w:themeColor="text1"/>
          <w:szCs w:val="30"/>
        </w:rPr>
        <w:t>拟中选结果公示无异议后，</w:t>
      </w:r>
      <w:r>
        <w:rPr>
          <w:rFonts w:hint="eastAsia" w:ascii="仿宋" w:hAnsi="仿宋" w:cs="Times New Roman"/>
          <w:color w:val="000000" w:themeColor="text1"/>
          <w:szCs w:val="30"/>
          <w:lang w:eastAsia="zh-CN"/>
        </w:rPr>
        <w:t>同步在国家医保局网站、联盟省份医保局网站和陕西</w:t>
      </w:r>
      <w:r>
        <w:rPr>
          <w:rFonts w:hint="eastAsia" w:ascii="仿宋" w:hAnsi="仿宋" w:cs="Times New Roman"/>
          <w:color w:val="000000" w:themeColor="text1"/>
          <w:szCs w:val="30"/>
        </w:rPr>
        <w:t>省采购平台公布中选结果。</w:t>
      </w:r>
    </w:p>
    <w:p>
      <w:pPr>
        <w:pStyle w:val="3"/>
        <w:ind w:firstLine="600"/>
      </w:pPr>
      <w:bookmarkStart w:id="36" w:name="_Toc30733"/>
      <w:r>
        <w:rPr>
          <w:rFonts w:hint="eastAsia"/>
        </w:rPr>
        <w:t>七、约定采购量分配</w:t>
      </w:r>
      <w:bookmarkEnd w:id="36"/>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坚持带量采购、量价挂钩，在中选</w:t>
      </w:r>
      <w:r>
        <w:rPr>
          <w:rFonts w:hint="eastAsia" w:ascii="仿宋" w:hAnsi="仿宋" w:cs="Times New Roman"/>
          <w:color w:val="000000" w:themeColor="text1"/>
          <w:szCs w:val="30"/>
          <w:lang w:val="en-US" w:eastAsia="zh-CN"/>
        </w:rPr>
        <w:t>结果</w:t>
      </w:r>
      <w:r>
        <w:rPr>
          <w:rFonts w:hint="eastAsia" w:ascii="仿宋" w:hAnsi="仿宋" w:cs="Times New Roman"/>
          <w:color w:val="000000" w:themeColor="text1"/>
          <w:szCs w:val="30"/>
          <w:lang w:val="en-US"/>
        </w:rPr>
        <w:t>确定后，由各医药机构在国家组织药品联合采购平台将约定采购量按照以下规则分配给中选企业：</w:t>
      </w:r>
    </w:p>
    <w:p>
      <w:pPr>
        <w:snapToGrid w:val="0"/>
        <w:ind w:firstLine="600"/>
        <w:rPr>
          <w:rFonts w:hint="default" w:ascii="仿宋" w:hAnsi="仿宋" w:cs="Times New Roman"/>
          <w:color w:val="000000" w:themeColor="text1"/>
          <w:szCs w:val="30"/>
          <w:lang w:val="en-US" w:eastAsia="zh-CN"/>
        </w:rPr>
      </w:pPr>
      <w:r>
        <w:rPr>
          <w:rFonts w:hint="eastAsia" w:ascii="仿宋" w:hAnsi="仿宋" w:cs="Times New Roman"/>
          <w:color w:val="000000" w:themeColor="text1"/>
          <w:szCs w:val="30"/>
          <w:lang w:val="en-US"/>
        </w:rPr>
        <w:t>约定采购量包括分配采购量和待分配采购量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如同品种A组或B组无中选产品，相应组别的约定采购量计入有中选产品的组别。</w:t>
      </w:r>
      <w:r>
        <w:rPr>
          <w:rFonts w:hint="eastAsia" w:ascii="仿宋" w:hAnsi="仿宋" w:cs="Times New Roman"/>
          <w:color w:val="000000" w:themeColor="text1"/>
          <w:szCs w:val="30"/>
          <w:lang w:val="en-US" w:eastAsia="zh-CN"/>
        </w:rPr>
        <w:t>无法折算规格的产品，如未产生中选结果，其对应规格的约定采购量不再进行折算。</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（一）分配采购量</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同</w:t>
      </w:r>
      <w:r>
        <w:rPr>
          <w:rFonts w:hint="eastAsia" w:ascii="仿宋" w:hAnsi="仿宋" w:cs="Times New Roman"/>
          <w:color w:val="000000" w:themeColor="text1"/>
          <w:szCs w:val="30"/>
          <w:lang w:val="en-US" w:eastAsia="zh-CN"/>
        </w:rPr>
        <w:t>品种同组</w:t>
      </w:r>
      <w:r>
        <w:rPr>
          <w:rFonts w:hint="eastAsia" w:ascii="仿宋" w:hAnsi="仿宋" w:cs="Times New Roman"/>
          <w:color w:val="000000" w:themeColor="text1"/>
          <w:szCs w:val="30"/>
          <w:lang w:val="en-US"/>
        </w:rPr>
        <w:t>综合评审得分最高和中选价格最低的</w:t>
      </w:r>
      <w:r>
        <w:rPr>
          <w:rFonts w:hint="eastAsia" w:ascii="仿宋" w:hAnsi="仿宋" w:cs="Times New Roman"/>
          <w:color w:val="000000" w:themeColor="text1"/>
          <w:szCs w:val="30"/>
          <w:lang w:val="en-US" w:eastAsia="zh-CN"/>
        </w:rPr>
        <w:t>中选企业</w:t>
      </w:r>
      <w:r>
        <w:rPr>
          <w:rFonts w:hint="eastAsia" w:ascii="仿宋" w:hAnsi="仿宋" w:cs="Times New Roman"/>
          <w:color w:val="000000" w:themeColor="text1"/>
          <w:szCs w:val="30"/>
          <w:lang w:val="en-US"/>
        </w:rPr>
        <w:t>（不包含复活成功企业）</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品100%约定采购量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复活成功企业分配医药机构上报该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品50%约定采购量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其余中选</w:t>
      </w:r>
      <w:r>
        <w:rPr>
          <w:rFonts w:hint="eastAsia" w:ascii="仿宋" w:hAnsi="仿宋" w:cs="Times New Roman"/>
          <w:color w:val="000000" w:themeColor="text1"/>
          <w:szCs w:val="30"/>
          <w:lang w:val="en-US" w:eastAsia="zh-CN"/>
        </w:rPr>
        <w:t>企业</w:t>
      </w:r>
      <w:r>
        <w:rPr>
          <w:rFonts w:hint="eastAsia" w:ascii="仿宋" w:hAnsi="仿宋" w:cs="Times New Roman"/>
          <w:color w:val="000000" w:themeColor="text1"/>
          <w:szCs w:val="30"/>
          <w:lang w:val="en-US"/>
        </w:rPr>
        <w:t>分配医药机构上报该</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w:t>
      </w:r>
      <w:r>
        <w:rPr>
          <w:rFonts w:hint="eastAsia" w:ascii="仿宋" w:hAnsi="仿宋" w:cs="Times New Roman"/>
          <w:color w:val="000000" w:themeColor="text1"/>
          <w:szCs w:val="30"/>
          <w:lang w:val="en-US" w:eastAsia="zh-CN"/>
        </w:rPr>
        <w:t>8</w:t>
      </w:r>
      <w:r>
        <w:rPr>
          <w:rFonts w:hint="eastAsia" w:ascii="仿宋" w:hAnsi="仿宋" w:cs="Times New Roman"/>
          <w:color w:val="000000" w:themeColor="text1"/>
          <w:szCs w:val="30"/>
          <w:lang w:val="en-US"/>
        </w:rPr>
        <w:t>0%约定采购量。</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（二）待分配采购量</w:t>
      </w:r>
    </w:p>
    <w:p>
      <w:pPr>
        <w:snapToGrid w:val="0"/>
        <w:ind w:firstLine="600"/>
        <w:rPr>
          <w:rFonts w:hint="eastAsia" w:ascii="仿宋" w:hAnsi="仿宋" w:cs="Times New Roman"/>
          <w:color w:val="000000" w:themeColor="text1"/>
          <w:szCs w:val="30"/>
          <w:lang w:val="en-US" w:eastAsia="zh-CN"/>
        </w:rPr>
      </w:pPr>
      <w:r>
        <w:rPr>
          <w:rFonts w:hint="eastAsia" w:ascii="仿宋" w:hAnsi="仿宋" w:cs="Times New Roman"/>
          <w:color w:val="000000" w:themeColor="text1"/>
          <w:szCs w:val="30"/>
          <w:lang w:val="en-US"/>
        </w:rPr>
        <w:t>待分配采购量包括：同</w:t>
      </w:r>
      <w:r>
        <w:rPr>
          <w:rFonts w:hint="eastAsia" w:ascii="仿宋" w:hAnsi="仿宋" w:cs="Times New Roman"/>
          <w:color w:val="000000" w:themeColor="text1"/>
          <w:szCs w:val="30"/>
          <w:lang w:val="en-US" w:eastAsia="zh-CN"/>
        </w:rPr>
        <w:t>品种</w:t>
      </w:r>
      <w:r>
        <w:rPr>
          <w:rFonts w:hint="eastAsia" w:ascii="仿宋" w:hAnsi="仿宋" w:cs="Times New Roman"/>
          <w:color w:val="000000" w:themeColor="text1"/>
          <w:szCs w:val="30"/>
          <w:lang w:val="en-US"/>
        </w:rPr>
        <w:t>未中选企业医药机构约定采购量的100%；非得分最高和价格最低中选企业医药机构约定采购量的</w:t>
      </w:r>
      <w:r>
        <w:rPr>
          <w:rFonts w:hint="eastAsia" w:ascii="仿宋" w:hAnsi="仿宋" w:cs="Times New Roman"/>
          <w:color w:val="000000" w:themeColor="text1"/>
          <w:szCs w:val="30"/>
          <w:lang w:val="en-US" w:eastAsia="zh-CN"/>
        </w:rPr>
        <w:t>2</w:t>
      </w:r>
      <w:r>
        <w:rPr>
          <w:rFonts w:hint="eastAsia" w:ascii="仿宋" w:hAnsi="仿宋" w:cs="Times New Roman"/>
          <w:color w:val="000000" w:themeColor="text1"/>
          <w:szCs w:val="30"/>
          <w:lang w:val="en-US"/>
        </w:rPr>
        <w:t>0%；复活成功企业医药机构约定采购量的50%。按照以下原则分配</w:t>
      </w:r>
      <w:r>
        <w:rPr>
          <w:rFonts w:hint="eastAsia" w:ascii="仿宋" w:hAnsi="仿宋" w:cs="Times New Roman"/>
          <w:color w:val="000000" w:themeColor="text1"/>
          <w:szCs w:val="30"/>
          <w:lang w:val="en-US" w:eastAsia="zh-CN"/>
        </w:rPr>
        <w:t>。鼓励医药机构优先选择质优价宜的中选产品，不保证每家中选企业都有医药机构选择。</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1.若医药机构填报了得分最高和价格最低的中选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品之一的，则该医药机构该品种待分配采购量的50%分配给该中选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品，其余待分配采购量由医药机构从中选企业“供应</w:t>
      </w:r>
      <w:r>
        <w:rPr>
          <w:rFonts w:hint="eastAsia" w:ascii="仿宋" w:hAnsi="仿宋" w:cs="Times New Roman"/>
          <w:color w:val="000000" w:themeColor="text1"/>
          <w:szCs w:val="30"/>
          <w:lang w:val="en-US" w:eastAsia="zh-CN"/>
        </w:rPr>
        <w:t>产品</w:t>
      </w:r>
      <w:r>
        <w:rPr>
          <w:rFonts w:hint="eastAsia" w:ascii="仿宋" w:hAnsi="仿宋" w:cs="Times New Roman"/>
          <w:color w:val="000000" w:themeColor="text1"/>
          <w:szCs w:val="30"/>
          <w:lang w:val="en-US"/>
        </w:rPr>
        <w:t>清单”中自主选择。</w:t>
      </w:r>
    </w:p>
    <w:p>
      <w:pPr>
        <w:snapToGrid w:val="0"/>
        <w:ind w:firstLine="600"/>
        <w:rPr>
          <w:rFonts w:hint="eastAsia" w:ascii="仿宋" w:hAnsi="仿宋" w:cs="Times New Roman"/>
          <w:color w:val="000000" w:themeColor="text1"/>
          <w:szCs w:val="30"/>
          <w:lang w:val="en-US"/>
        </w:rPr>
      </w:pPr>
      <w:r>
        <w:rPr>
          <w:rFonts w:hint="eastAsia" w:ascii="仿宋" w:hAnsi="仿宋" w:cs="Times New Roman"/>
          <w:color w:val="000000" w:themeColor="text1"/>
          <w:szCs w:val="30"/>
          <w:lang w:val="en-US"/>
        </w:rPr>
        <w:t>2.若医药机构同时填报了得分最高和价格最低的中选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品，则该医药机构该品种待分配采购量的50%分配给得分最高的中选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品，50%分配给价格最低的中选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w:t>
      </w:r>
    </w:p>
    <w:p>
      <w:pPr>
        <w:snapToGrid w:val="0"/>
        <w:ind w:firstLine="600"/>
        <w:rPr>
          <w:rFonts w:hint="eastAsia" w:ascii="仿宋" w:hAnsi="仿宋" w:cs="Times New Roman"/>
          <w:color w:val="000000" w:themeColor="text1"/>
          <w:szCs w:val="30"/>
        </w:rPr>
      </w:pPr>
      <w:r>
        <w:rPr>
          <w:rFonts w:hint="eastAsia" w:ascii="仿宋" w:hAnsi="仿宋" w:cs="Times New Roman"/>
          <w:color w:val="000000" w:themeColor="text1"/>
          <w:szCs w:val="30"/>
          <w:lang w:val="en-US"/>
        </w:rPr>
        <w:t>3.若医药机构未填报得分最高和价格最低的中选</w:t>
      </w:r>
      <w:r>
        <w:rPr>
          <w:rFonts w:hint="eastAsia" w:ascii="仿宋" w:hAnsi="仿宋" w:cs="Times New Roman"/>
          <w:color w:val="000000" w:themeColor="text1"/>
          <w:szCs w:val="30"/>
          <w:lang w:val="en-US" w:eastAsia="zh-CN"/>
        </w:rPr>
        <w:t>产</w:t>
      </w:r>
      <w:r>
        <w:rPr>
          <w:rFonts w:hint="eastAsia" w:ascii="仿宋" w:hAnsi="仿宋" w:cs="Times New Roman"/>
          <w:color w:val="000000" w:themeColor="text1"/>
          <w:szCs w:val="30"/>
          <w:lang w:val="en-US"/>
        </w:rPr>
        <w:t>品，则该医药机构</w:t>
      </w:r>
      <w:r>
        <w:rPr>
          <w:rFonts w:hint="eastAsia" w:ascii="仿宋" w:hAnsi="仿宋" w:cs="Times New Roman"/>
          <w:color w:val="000000" w:themeColor="text1"/>
          <w:szCs w:val="30"/>
          <w:lang w:val="en-US" w:eastAsia="zh-CN"/>
        </w:rPr>
        <w:t>该品种</w:t>
      </w:r>
      <w:r>
        <w:rPr>
          <w:rFonts w:hint="eastAsia" w:ascii="仿宋" w:hAnsi="仿宋" w:cs="Times New Roman"/>
          <w:color w:val="000000" w:themeColor="text1"/>
          <w:szCs w:val="30"/>
          <w:lang w:val="en-US"/>
        </w:rPr>
        <w:t>待分配采购量</w:t>
      </w:r>
      <w:r>
        <w:rPr>
          <w:rFonts w:hint="eastAsia" w:ascii="仿宋" w:hAnsi="仿宋" w:cs="Times New Roman"/>
          <w:color w:val="000000" w:themeColor="text1"/>
          <w:szCs w:val="30"/>
          <w:lang w:val="en-US" w:eastAsia="zh-CN"/>
        </w:rPr>
        <w:t>，</w:t>
      </w:r>
      <w:r>
        <w:rPr>
          <w:rFonts w:hint="eastAsia" w:ascii="仿宋" w:hAnsi="仿宋" w:cs="Times New Roman"/>
          <w:color w:val="000000" w:themeColor="text1"/>
          <w:szCs w:val="30"/>
          <w:lang w:val="en-US"/>
        </w:rPr>
        <w:t>由医药机构从中选企业“供应</w:t>
      </w:r>
      <w:r>
        <w:rPr>
          <w:rFonts w:hint="eastAsia" w:ascii="仿宋" w:hAnsi="仿宋" w:cs="Times New Roman"/>
          <w:color w:val="000000" w:themeColor="text1"/>
          <w:szCs w:val="30"/>
          <w:lang w:val="en-US" w:eastAsia="zh-CN"/>
        </w:rPr>
        <w:t>产品</w:t>
      </w:r>
      <w:r>
        <w:rPr>
          <w:rFonts w:hint="eastAsia" w:ascii="仿宋" w:hAnsi="仿宋" w:cs="Times New Roman"/>
          <w:color w:val="000000" w:themeColor="text1"/>
          <w:szCs w:val="30"/>
          <w:lang w:val="en-US"/>
        </w:rPr>
        <w:t>清单”中自主选择。</w:t>
      </w:r>
    </w:p>
    <w:p>
      <w:pPr>
        <w:pStyle w:val="3"/>
        <w:ind w:firstLine="600"/>
      </w:pPr>
      <w:bookmarkStart w:id="37" w:name="_Toc19143"/>
      <w:r>
        <w:rPr>
          <w:rFonts w:hint="eastAsia"/>
        </w:rPr>
        <w:t>八、采购执行说明</w:t>
      </w:r>
      <w:bookmarkEnd w:id="37"/>
    </w:p>
    <w:p>
      <w:pPr>
        <w:pStyle w:val="27"/>
        <w:keepNext w:val="0"/>
        <w:keepLines w:val="0"/>
        <w:pageBreakBefore w:val="0"/>
        <w:numPr>
          <w:ilvl w:val="0"/>
          <w:numId w:val="0"/>
        </w:numPr>
        <w:kinsoku/>
        <w:wordWrap/>
        <w:overflowPunct/>
        <w:topLinePunct w:val="0"/>
        <w:bidi w:val="0"/>
        <w:spacing w:line="560" w:lineRule="exact"/>
        <w:ind w:firstLine="600" w:firstLineChars="200"/>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（一</w:t>
      </w:r>
      <w:r>
        <w:rPr>
          <w:rFonts w:hint="eastAsia" w:ascii="仿宋" w:hAnsi="仿宋" w:eastAsia="仿宋" w:cs="Times New Roman"/>
          <w:color w:val="000000" w:themeColor="text1"/>
          <w:kern w:val="2"/>
          <w:sz w:val="30"/>
          <w:szCs w:val="30"/>
          <w:lang w:val="zh-CN" w:eastAsia="zh-CN" w:bidi="ar-SA"/>
        </w:rPr>
        <w:t>）</w:t>
      </w:r>
      <w:r>
        <w:rPr>
          <w:rFonts w:hint="eastAsia" w:ascii="仿宋" w:hAnsi="仿宋" w:eastAsia="仿宋" w:cs="Times New Roman"/>
          <w:color w:val="000000" w:themeColor="text1"/>
          <w:kern w:val="2"/>
          <w:sz w:val="30"/>
          <w:szCs w:val="30"/>
          <w:lang w:val="en-US" w:eastAsia="zh-CN" w:bidi="ar-SA"/>
        </w:rPr>
        <w:t>联盟地区内所有公立医疗机构（含军队医疗机构）全部参加本次集采。鼓励医保定点社会办医疗机构和零售药店参加（以下简称“医药机构”）。</w:t>
      </w:r>
    </w:p>
    <w:p>
      <w:pPr>
        <w:pStyle w:val="47"/>
        <w:keepNext w:val="0"/>
        <w:keepLines w:val="0"/>
        <w:pageBreakBefore w:val="0"/>
        <w:kinsoku/>
        <w:wordWrap/>
        <w:overflowPunct/>
        <w:topLinePunct w:val="0"/>
        <w:bidi w:val="0"/>
        <w:snapToGrid w:val="0"/>
        <w:spacing w:line="560" w:lineRule="exact"/>
        <w:ind w:left="0" w:firstLine="600" w:firstLineChars="200"/>
        <w:jc w:val="both"/>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二）采购周期内，中选企业须按“供应品种清单”内的中选产品和中选价格无差别供应联盟地区，均须满足其医药机构采购需求，不得选择性供应。在执行过程中，如遇国家组织药品集采品种与本次集采品种一致的，相关采购品种本次采购周期予以调整，有序衔接国家集采结果执行时间。</w:t>
      </w:r>
    </w:p>
    <w:p>
      <w:pPr>
        <w:pStyle w:val="47"/>
        <w:keepNext w:val="0"/>
        <w:keepLines w:val="0"/>
        <w:pageBreakBefore w:val="0"/>
        <w:kinsoku/>
        <w:wordWrap/>
        <w:overflowPunct/>
        <w:topLinePunct w:val="0"/>
        <w:bidi w:val="0"/>
        <w:snapToGrid w:val="0"/>
        <w:spacing w:line="560" w:lineRule="exact"/>
        <w:ind w:left="0" w:firstLine="600" w:firstLineChars="200"/>
        <w:jc w:val="both"/>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三）符合申报品种资格的企业未报名、未全规格报名、报名未报价（含未确认最低价、无效报价）以及同品种同组未产生中选的产品，由省公共资源交易中心列入医疗机构采购使用重点监控目录并发布，并在执行期间对其在采购平台挂网和采购情况加强监测监管，陕西省各级医保部门按规定对其在统筹区医药机构的采购和使用情况加强监测监管。其他联盟地区按照本地区有关规定执行。中选企业如有“供应品种清单”之外的同通用名同组其它品规和包装产品，应当基于其中选产品价格按药品差比价规则计算挂网价格，且不具有中选产品身份。</w:t>
      </w:r>
    </w:p>
    <w:p>
      <w:pPr>
        <w:keepNext w:val="0"/>
        <w:keepLines w:val="0"/>
        <w:pageBreakBefore w:val="0"/>
        <w:widowControl w:val="0"/>
        <w:kinsoku/>
        <w:wordWrap/>
        <w:overflowPunct/>
        <w:topLinePunct w:val="0"/>
        <w:bidi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四）采购周期内同一产品，如在其他省级（含省际联盟，下同）集采中产生新的低价，自其中选价格生效之日起（以中选结果正式公布日期计算），企业须在30日内主动向联盟采购办公室和联盟地区申请价格联动，本次采购尚未执行的采购量，按新的中选价格执行。企业未按期进行价格联动的，按医药价格和招采信用评价制度有关规定处理。</w:t>
      </w:r>
    </w:p>
    <w:p>
      <w:pPr>
        <w:widowControl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（五）采购周期内，联盟地区医药机构须优先采购使用本次集采中选药品，并确保完成约定采购量。</w:t>
      </w:r>
    </w:p>
    <w:p>
      <w:pPr>
        <w:keepNext w:val="0"/>
        <w:keepLines w:val="0"/>
        <w:pageBreakBefore w:val="0"/>
        <w:widowControl w:val="0"/>
        <w:kinsoku/>
        <w:wordWrap/>
        <w:overflowPunct/>
        <w:topLinePunct w:val="0"/>
        <w:bidi w:val="0"/>
        <w:spacing w:line="560" w:lineRule="exact"/>
        <w:ind w:firstLine="600" w:firstLineChars="200"/>
        <w:jc w:val="both"/>
        <w:textAlignment w:val="auto"/>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六）采购周期内，如本次集采品种中出现报名截止之日后首次取得批件的产品，相关企业主动接受本次集采同品种同组最低中选价和其外省集采中选价之间的低值，且向药品联合采购办公室提出新增中选产品申请的，经审核通过后可视同为中选产品，但在审核通过的采购年度内无约定采购量。</w:t>
      </w:r>
    </w:p>
    <w:p>
      <w:pPr>
        <w:pStyle w:val="15"/>
        <w:spacing w:line="560" w:lineRule="exact"/>
        <w:ind w:right="0" w:firstLine="616" w:firstLineChars="200"/>
        <w:rPr>
          <w:rFonts w:hint="eastAsia" w:ascii="仿宋" w:hAnsi="仿宋" w:eastAsia="仿宋" w:cs="Times New Roman"/>
          <w:color w:val="000000" w:themeColor="text1"/>
          <w:kern w:val="2"/>
          <w:sz w:val="30"/>
          <w:szCs w:val="30"/>
          <w:lang w:val="en-US" w:eastAsia="zh-CN" w:bidi="ar-SA"/>
        </w:rPr>
      </w:pPr>
      <w:r>
        <w:rPr>
          <w:rFonts w:hint="eastAsia" w:ascii="仿宋" w:hAnsi="仿宋" w:eastAsia="仿宋" w:cs="Times New Roman"/>
          <w:color w:val="000000" w:themeColor="text1"/>
          <w:kern w:val="2"/>
          <w:sz w:val="30"/>
          <w:szCs w:val="30"/>
          <w:lang w:val="en-US" w:eastAsia="zh-CN" w:bidi="ar-SA"/>
        </w:rPr>
        <w:t>（七）纳入国家和联盟地区省级重点监控合理用药药品目录或因公共卫生事件、临床指南药物推荐级别变化等因素导致临床需求发生重大变化等情形的药品，各联盟地区协议执行情况可按中选药品约定采购量或中选药品使用比例考核。</w:t>
      </w:r>
    </w:p>
    <w:p>
      <w:pPr>
        <w:pStyle w:val="15"/>
        <w:spacing w:line="560" w:lineRule="exact"/>
        <w:ind w:right="0" w:firstLine="618" w:firstLineChars="200"/>
        <w:rPr>
          <w:rFonts w:hint="eastAsia" w:ascii="仿宋" w:hAnsi="仿宋" w:eastAsia="仿宋"/>
          <w:b/>
          <w:sz w:val="30"/>
          <w:szCs w:val="30"/>
        </w:rPr>
      </w:pPr>
      <w:r>
        <w:rPr>
          <w:rFonts w:hint="eastAsia" w:ascii="仿宋" w:hAnsi="仿宋" w:eastAsia="仿宋"/>
          <w:b/>
          <w:sz w:val="30"/>
          <w:szCs w:val="30"/>
        </w:rPr>
        <w:t>本采购文件仅适用于本次集中带量接续采购邀请函中所述项目的药品及相关服务，最终解释权归陕西省公共资源交易中心。</w:t>
      </w:r>
    </w:p>
    <w:p>
      <w:pPr>
        <w:pStyle w:val="2"/>
        <w:jc w:val="both"/>
        <w:rPr>
          <w:rFonts w:hint="eastAsia" w:ascii="黑体" w:hAnsi="黑体" w:cs="黑体"/>
          <w:b w:val="0"/>
          <w:bCs/>
          <w:sz w:val="30"/>
          <w:szCs w:val="30"/>
        </w:rPr>
      </w:pPr>
      <w:bookmarkStart w:id="38" w:name="_Toc15514"/>
    </w:p>
    <w:p>
      <w:pPr>
        <w:rPr>
          <w:rFonts w:hint="eastAsia" w:ascii="黑体" w:hAnsi="黑体" w:cs="黑体"/>
          <w:b w:val="0"/>
          <w:bCs/>
          <w:sz w:val="30"/>
          <w:szCs w:val="30"/>
        </w:rPr>
      </w:pPr>
    </w:p>
    <w:p>
      <w:pPr>
        <w:pStyle w:val="27"/>
        <w:rPr>
          <w:rFonts w:hint="eastAsia" w:ascii="黑体" w:hAnsi="黑体" w:cs="黑体"/>
          <w:b w:val="0"/>
          <w:bCs/>
          <w:sz w:val="30"/>
          <w:szCs w:val="30"/>
        </w:rPr>
      </w:pPr>
    </w:p>
    <w:p>
      <w:pPr>
        <w:pStyle w:val="27"/>
        <w:rPr>
          <w:rFonts w:hint="eastAsia" w:ascii="黑体" w:hAnsi="黑体" w:cs="黑体"/>
          <w:b w:val="0"/>
          <w:bCs/>
          <w:sz w:val="30"/>
          <w:szCs w:val="30"/>
        </w:rPr>
      </w:pPr>
    </w:p>
    <w:p>
      <w:pPr>
        <w:pStyle w:val="27"/>
        <w:rPr>
          <w:rFonts w:hint="eastAsia" w:ascii="黑体" w:hAnsi="黑体" w:cs="黑体"/>
          <w:b w:val="0"/>
          <w:bCs/>
          <w:sz w:val="30"/>
          <w:szCs w:val="30"/>
        </w:rPr>
      </w:pPr>
    </w:p>
    <w:p>
      <w:pPr>
        <w:pStyle w:val="27"/>
        <w:rPr>
          <w:rFonts w:hint="eastAsia" w:ascii="黑体" w:hAnsi="黑体" w:cs="黑体"/>
          <w:b w:val="0"/>
          <w:bCs/>
          <w:sz w:val="30"/>
          <w:szCs w:val="30"/>
        </w:rPr>
      </w:pPr>
    </w:p>
    <w:p>
      <w:pPr>
        <w:pStyle w:val="2"/>
        <w:rPr>
          <w:rFonts w:hint="eastAsia" w:ascii="仿宋" w:hAnsi="仿宋"/>
        </w:rPr>
      </w:pPr>
      <w:bookmarkStart w:id="39" w:name="_Toc9239"/>
    </w:p>
    <w:p>
      <w:pPr>
        <w:pStyle w:val="2"/>
        <w:rPr>
          <w:rFonts w:hint="eastAsia" w:ascii="仿宋" w:hAnsi="仿宋"/>
          <w:b w:val="0"/>
          <w:bCs/>
        </w:rPr>
      </w:pPr>
      <w:r>
        <w:rPr>
          <w:rFonts w:hint="eastAsia" w:ascii="仿宋" w:hAnsi="仿宋"/>
        </w:rPr>
        <w:t>第三部分 附件</w:t>
      </w:r>
      <w:bookmarkEnd w:id="38"/>
      <w:bookmarkEnd w:id="39"/>
    </w:p>
    <w:p>
      <w:pPr>
        <w:pStyle w:val="3"/>
        <w:ind w:left="0" w:leftChars="0" w:firstLine="0" w:firstLineChars="0"/>
        <w:jc w:val="both"/>
        <w:rPr>
          <w:rFonts w:eastAsia="仿宋_GB2312"/>
          <w:szCs w:val="30"/>
        </w:rPr>
      </w:pPr>
      <w:bookmarkStart w:id="40" w:name="_Toc21789"/>
      <w:r>
        <w:rPr>
          <w:rFonts w:hint="eastAsia" w:ascii="仿宋" w:hAnsi="仿宋" w:eastAsia="仿宋" w:cs="仿宋"/>
          <w:b w:val="0"/>
          <w:bCs/>
          <w:sz w:val="30"/>
          <w:szCs w:val="30"/>
        </w:rPr>
        <w:t xml:space="preserve">附件1 </w:t>
      </w:r>
      <w:r>
        <w:rPr>
          <w:rFonts w:hint="eastAsia" w:ascii="黑体" w:hAnsi="黑体" w:cs="黑体"/>
          <w:b w:val="0"/>
          <w:bCs/>
          <w:sz w:val="30"/>
          <w:szCs w:val="30"/>
          <w:lang w:val="en-US" w:eastAsia="zh-CN"/>
        </w:rPr>
        <w:t xml:space="preserve"> </w:t>
      </w:r>
      <w:r>
        <w:rPr>
          <w:rFonts w:hint="eastAsia" w:ascii="黑体" w:hAnsi="黑体" w:cs="黑体"/>
          <w:lang w:val="en-US" w:eastAsia="zh-CN"/>
        </w:rPr>
        <w:t>十四</w:t>
      </w:r>
      <w:r>
        <w:rPr>
          <w:rFonts w:hint="eastAsia" w:ascii="黑体" w:hAnsi="黑体" w:cs="黑体"/>
        </w:rPr>
        <w:t>省（</w:t>
      </w:r>
      <w:r>
        <w:rPr>
          <w:rFonts w:hint="eastAsia" w:ascii="黑体" w:hAnsi="黑体" w:cs="黑体"/>
          <w:lang w:val="en-US" w:eastAsia="zh-CN"/>
        </w:rPr>
        <w:t>区、兵团</w:t>
      </w:r>
      <w:r>
        <w:rPr>
          <w:rFonts w:hint="eastAsia" w:ascii="黑体" w:hAnsi="黑体" w:cs="黑体"/>
        </w:rPr>
        <w:t>）</w:t>
      </w:r>
      <w:r>
        <w:rPr>
          <w:rFonts w:hint="eastAsia" w:ascii="黑体" w:hAnsi="黑体" w:cs="黑体"/>
          <w:sz w:val="32"/>
          <w:szCs w:val="32"/>
        </w:rPr>
        <w:t>药品集中带量采购申报函</w:t>
      </w:r>
      <w:bookmarkEnd w:id="40"/>
    </w:p>
    <w:p>
      <w:pPr>
        <w:tabs>
          <w:tab w:val="left" w:pos="7980"/>
        </w:tabs>
        <w:ind w:firstLine="0" w:firstLineChars="0"/>
        <w:jc w:val="center"/>
        <w:rPr>
          <w:rFonts w:eastAsia="仿宋_GB2312"/>
          <w:szCs w:val="30"/>
        </w:rPr>
      </w:pPr>
      <w:r>
        <w:rPr>
          <w:rFonts w:hint="eastAsia" w:ascii="仿宋" w:hAnsi="仿宋"/>
          <w:sz w:val="28"/>
          <w:szCs w:val="28"/>
        </w:rPr>
        <w:t>（编号：</w:t>
      </w:r>
      <w:r>
        <w:rPr>
          <w:rFonts w:hint="eastAsia" w:ascii="华文中宋" w:hAnsi="华文中宋" w:eastAsia="华文中宋" w:cs="华文细黑"/>
          <w:sz w:val="32"/>
        </w:rPr>
        <w:t>SX-YPDL202</w:t>
      </w:r>
      <w:r>
        <w:rPr>
          <w:rFonts w:hint="eastAsia" w:ascii="华文中宋" w:hAnsi="华文中宋" w:eastAsia="华文中宋" w:cs="华文细黑"/>
          <w:sz w:val="32"/>
          <w:lang w:val="en-US" w:eastAsia="zh-CN"/>
        </w:rPr>
        <w:t>4</w:t>
      </w:r>
      <w:r>
        <w:rPr>
          <w:rFonts w:hint="eastAsia" w:ascii="华文中宋" w:hAnsi="华文中宋" w:eastAsia="华文中宋" w:cs="华文细黑"/>
          <w:sz w:val="32"/>
        </w:rPr>
        <w:t>-01</w:t>
      </w:r>
      <w:r>
        <w:rPr>
          <w:rFonts w:hint="eastAsia" w:ascii="仿宋" w:hAnsi="仿宋"/>
          <w:sz w:val="28"/>
          <w:szCs w:val="28"/>
        </w:rPr>
        <w:t>）</w:t>
      </w:r>
    </w:p>
    <w:p>
      <w:pPr>
        <w:tabs>
          <w:tab w:val="left" w:pos="7980"/>
        </w:tabs>
        <w:ind w:firstLine="600"/>
        <w:rPr>
          <w:rFonts w:eastAsia="仿宋_GB2312"/>
          <w:szCs w:val="30"/>
        </w:rPr>
      </w:pPr>
    </w:p>
    <w:p>
      <w:pPr>
        <w:ind w:firstLine="0" w:firstLineChars="0"/>
        <w:rPr>
          <w:rFonts w:hint="eastAsia" w:ascii="仿宋" w:hAnsi="仿宋" w:eastAsia="仿宋" w:cs="仿宋"/>
          <w:sz w:val="30"/>
          <w:szCs w:val="30"/>
        </w:rPr>
      </w:pPr>
      <w:r>
        <w:rPr>
          <w:rFonts w:hint="eastAsia" w:ascii="仿宋" w:hAnsi="仿宋" w:eastAsia="仿宋" w:cs="仿宋"/>
          <w:sz w:val="30"/>
          <w:szCs w:val="30"/>
        </w:rPr>
        <w:t>陕西省公共资源交易中心：</w:t>
      </w:r>
    </w:p>
    <w:p>
      <w:pPr>
        <w:ind w:firstLine="600"/>
        <w:rPr>
          <w:rFonts w:hint="eastAsia" w:ascii="仿宋" w:hAnsi="仿宋" w:eastAsia="仿宋" w:cs="仿宋"/>
          <w:sz w:val="30"/>
          <w:szCs w:val="30"/>
        </w:rPr>
      </w:pPr>
      <w:r>
        <w:rPr>
          <w:rFonts w:hint="eastAsia" w:ascii="仿宋" w:hAnsi="仿宋" w:eastAsia="仿宋" w:cs="仿宋"/>
          <w:sz w:val="30"/>
          <w:szCs w:val="30"/>
        </w:rPr>
        <w:t>在审阅所有采购文件后，我方决定按照采购文件的要求参与申报。我方保证申报价格及所提供全部证明材料的真实性、合法性、有效性。</w:t>
      </w:r>
    </w:p>
    <w:p>
      <w:pPr>
        <w:ind w:firstLine="600"/>
        <w:rPr>
          <w:rFonts w:hint="eastAsia" w:ascii="仿宋" w:hAnsi="仿宋" w:eastAsia="仿宋" w:cs="仿宋"/>
          <w:sz w:val="30"/>
          <w:szCs w:val="30"/>
        </w:rPr>
      </w:pPr>
      <w:r>
        <w:rPr>
          <w:rFonts w:hint="eastAsia" w:ascii="仿宋" w:hAnsi="仿宋" w:eastAsia="仿宋" w:cs="仿宋"/>
          <w:sz w:val="30"/>
          <w:szCs w:val="30"/>
        </w:rPr>
        <w:t>我方已充分考虑到原材料价格等因素，并以此申报价格。如果我方药品中选，我方将按照采购方的要求供应中选药品，确保中选药品的价格、质量和数量等一切要素按照购销协议履行。</w:t>
      </w:r>
    </w:p>
    <w:p>
      <w:pPr>
        <w:ind w:firstLine="600"/>
        <w:rPr>
          <w:rFonts w:hint="eastAsia" w:ascii="仿宋" w:hAnsi="仿宋" w:eastAsia="仿宋" w:cs="仿宋"/>
          <w:sz w:val="30"/>
          <w:szCs w:val="30"/>
        </w:rPr>
      </w:pPr>
      <w:r>
        <w:rPr>
          <w:rFonts w:hint="eastAsia" w:ascii="仿宋" w:hAnsi="仿宋" w:eastAsia="仿宋" w:cs="仿宋"/>
          <w:sz w:val="30"/>
          <w:szCs w:val="30"/>
        </w:rPr>
        <w:t>我方承诺同陕西省公共资源交易中心没有利益关系，不会为达成此项目同采购方进行任何不正当联系，不会在申报过程中有任何违法违规行为。</w:t>
      </w:r>
    </w:p>
    <w:p>
      <w:pPr>
        <w:ind w:firstLine="600"/>
        <w:rPr>
          <w:rFonts w:hint="eastAsia" w:ascii="仿宋" w:hAnsi="仿宋" w:eastAsia="仿宋" w:cs="仿宋"/>
          <w:sz w:val="30"/>
          <w:szCs w:val="30"/>
        </w:rPr>
      </w:pPr>
      <w:r>
        <w:rPr>
          <w:rFonts w:hint="eastAsia" w:ascii="仿宋" w:hAnsi="仿宋" w:eastAsia="仿宋" w:cs="仿宋"/>
          <w:sz w:val="30"/>
          <w:szCs w:val="30"/>
        </w:rPr>
        <w:t>在正式协议签订前，本申报函、中选通知将构成约束双方的协议。</w:t>
      </w:r>
    </w:p>
    <w:p>
      <w:pPr>
        <w:tabs>
          <w:tab w:val="left" w:pos="7980"/>
        </w:tabs>
        <w:ind w:left="0" w:leftChars="0" w:firstLine="0" w:firstLineChars="0"/>
        <w:rPr>
          <w:rFonts w:hint="eastAsia" w:ascii="仿宋" w:hAnsi="仿宋" w:eastAsia="仿宋" w:cs="仿宋"/>
          <w:sz w:val="30"/>
          <w:szCs w:val="30"/>
        </w:rPr>
      </w:pPr>
    </w:p>
    <w:p>
      <w:pPr>
        <w:tabs>
          <w:tab w:val="left" w:pos="7980"/>
        </w:tabs>
        <w:ind w:firstLine="600"/>
        <w:rPr>
          <w:rFonts w:hint="eastAsia" w:ascii="仿宋" w:hAnsi="仿宋" w:eastAsia="仿宋" w:cs="仿宋"/>
          <w:sz w:val="30"/>
          <w:szCs w:val="30"/>
        </w:rPr>
      </w:pPr>
    </w:p>
    <w:p>
      <w:pPr>
        <w:ind w:left="0" w:leftChars="0" w:firstLine="3000" w:firstLineChars="1000"/>
        <w:rPr>
          <w:rFonts w:hint="eastAsia" w:ascii="仿宋" w:hAnsi="仿宋" w:eastAsia="仿宋" w:cs="仿宋"/>
          <w:sz w:val="30"/>
          <w:szCs w:val="30"/>
          <w:u w:val="single"/>
        </w:rPr>
      </w:pPr>
      <w:r>
        <w:rPr>
          <w:rFonts w:hint="eastAsia" w:ascii="仿宋" w:hAnsi="仿宋" w:eastAsia="仿宋" w:cs="仿宋"/>
          <w:sz w:val="30"/>
          <w:szCs w:val="30"/>
        </w:rPr>
        <w:t>申报企业（盖章）：</w:t>
      </w:r>
      <w:r>
        <w:rPr>
          <w:rFonts w:hint="eastAsia" w:ascii="仿宋" w:hAnsi="仿宋" w:eastAsia="仿宋" w:cs="仿宋"/>
          <w:sz w:val="30"/>
          <w:szCs w:val="30"/>
          <w:u w:val="single"/>
        </w:rPr>
        <w:t xml:space="preserve">                  </w:t>
      </w:r>
    </w:p>
    <w:p>
      <w:pPr>
        <w:ind w:left="0" w:leftChars="0" w:firstLine="3000" w:firstLineChars="1000"/>
        <w:rPr>
          <w:rFonts w:hint="eastAsia" w:ascii="仿宋" w:hAnsi="仿宋" w:eastAsia="仿宋" w:cs="仿宋"/>
          <w:sz w:val="30"/>
          <w:szCs w:val="30"/>
        </w:rPr>
      </w:pPr>
      <w:r>
        <w:rPr>
          <w:rFonts w:hint="eastAsia" w:ascii="仿宋" w:hAnsi="仿宋" w:eastAsia="仿宋" w:cs="仿宋"/>
          <w:sz w:val="30"/>
          <w:szCs w:val="30"/>
        </w:rPr>
        <w:t>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ind w:left="0" w:leftChars="0" w:firstLine="0" w:firstLineChars="0"/>
        <w:rPr>
          <w:rStyle w:val="49"/>
          <w:rFonts w:hint="eastAsia" w:ascii="仿宋" w:hAnsi="仿宋" w:eastAsia="仿宋" w:cs="仿宋"/>
          <w:lang w:val="en-US" w:eastAsia="zh-CN"/>
        </w:rPr>
      </w:pPr>
    </w:p>
    <w:p>
      <w:pPr>
        <w:pStyle w:val="3"/>
        <w:bidi w:val="0"/>
        <w:ind w:left="0" w:leftChars="0" w:firstLine="0" w:firstLineChars="0"/>
        <w:rPr>
          <w:rStyle w:val="49"/>
          <w:rFonts w:hint="eastAsia"/>
          <w:lang w:val="en-US" w:eastAsia="zh-CN"/>
        </w:rPr>
      </w:pPr>
      <w:bookmarkStart w:id="41" w:name="_Toc14039"/>
      <w:r>
        <w:rPr>
          <w:rFonts w:hint="eastAsia" w:ascii="仿宋" w:hAnsi="仿宋" w:eastAsia="仿宋" w:cs="仿宋"/>
          <w:lang w:val="en-US" w:eastAsia="zh-CN"/>
        </w:rPr>
        <w:t xml:space="preserve">附件2 </w:t>
      </w:r>
      <w:r>
        <w:rPr>
          <w:rFonts w:hint="eastAsia" w:ascii="仿宋" w:hAnsi="仿宋" w:eastAsia="仿宋" w:cs="仿宋"/>
          <w:lang w:val="en-US" w:eastAsia="zh-CN"/>
        </w:rPr>
        <w:pict>
          <v:shape id="Text Box 2" o:spid="_x0000_s2050" o:spt="202" type="#_x0000_t202" style="position:absolute;left:0pt;margin-left:572.25pt;margin-top:12.9pt;height:54.6pt;width:52.5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文本框 19" o:spid="_x0000_s2051" o:spt="202" type="#_x0000_t202" style="position:absolute;left:0pt;margin-left:572.25pt;margin-top:12.9pt;height:54.6pt;width:52.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文本框 20" o:spid="_x0000_s2052" o:spt="202" type="#_x0000_t202" style="position:absolute;left:0pt;margin-left:572.25pt;margin-top:12.9pt;height:54.6pt;width:52.5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pict>
          <v:shape id="Text Box 8" o:spid="_x0000_s2053" o:spt="202" type="#_x0000_t202" style="position:absolute;left:0pt;margin-left:572.25pt;margin-top:12.9pt;height:54.6pt;width:52.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">
            <v:path/>
            <v:fill focussize="0,0"/>
            <v:stroke joinstyle="miter"/>
            <v:imagedata o:title=""/>
            <o:lock v:ext="edit"/>
            <v:textbox>
              <w:txbxContent>
                <w:p>
                  <w:pPr>
                    <w:ind w:firstLine="600"/>
                  </w:pPr>
                  <w:r>
                    <w:rPr>
                      <w:rFonts w:hint="eastAsia"/>
                    </w:rPr>
                    <w:t>（二维码自动生成区）</w:t>
                  </w:r>
                </w:p>
              </w:txbxContent>
            </v:textbox>
          </v:shape>
        </w:pict>
      </w:r>
      <w:r>
        <w:rPr>
          <w:rFonts w:hint="eastAsia" w:ascii="仿宋" w:hAnsi="仿宋" w:eastAsia="仿宋" w:cs="仿宋"/>
          <w:lang w:val="en-US" w:eastAsia="zh-CN"/>
        </w:rPr>
        <w:t xml:space="preserve">        </w:t>
      </w:r>
      <w:r>
        <w:rPr>
          <w:rStyle w:val="49"/>
          <w:rFonts w:hint="eastAsia"/>
          <w:lang w:val="en-US" w:eastAsia="zh-CN"/>
        </w:rPr>
        <w:t xml:space="preserve">   法定代表人授权书</w:t>
      </w:r>
      <w:bookmarkEnd w:id="41"/>
    </w:p>
    <w:p>
      <w:pPr>
        <w:pStyle w:val="3"/>
        <w:bidi w:val="0"/>
        <w:ind w:left="0" w:leftChars="0" w:firstLine="0" w:firstLineChars="0"/>
        <w:rPr>
          <w:rFonts w:hint="eastAsia" w:ascii="仿宋" w:hAnsi="仿宋" w:eastAsia="仿宋" w:cs="仿宋"/>
          <w:lang w:val="en-US" w:eastAsia="zh-CN"/>
        </w:rPr>
      </w:pPr>
    </w:p>
    <w:p>
      <w:pPr>
        <w:ind w:firstLine="0" w:firstLineChars="0"/>
        <w:rPr>
          <w:rFonts w:hint="eastAsia" w:ascii="仿宋" w:hAnsi="仿宋"/>
          <w:spacing w:val="-20"/>
          <w:szCs w:val="30"/>
        </w:rPr>
      </w:pPr>
      <w:r>
        <w:rPr>
          <w:rFonts w:hint="eastAsia" w:ascii="仿宋" w:hAnsi="仿宋"/>
          <w:spacing w:val="-20"/>
          <w:szCs w:val="30"/>
        </w:rPr>
        <w:t>陕西省公共资源交易中心：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本公司(单位)郑重声明：注册于</w:t>
      </w:r>
      <w:r>
        <w:rPr>
          <w:rFonts w:hint="eastAsia" w:ascii="仿宋" w:hAnsi="仿宋" w:eastAsia="仿宋" w:cs="仿宋"/>
          <w:sz w:val="32"/>
          <w:szCs w:val="32"/>
          <w:u w:val="single" w:color="auto"/>
          <w:lang w:val="en-US" w:eastAsia="zh-CN"/>
        </w:rPr>
        <w:t xml:space="preserve">(公司/单位地址) </w:t>
      </w:r>
      <w:r>
        <w:rPr>
          <w:rFonts w:ascii="仿宋" w:hAnsi="仿宋" w:eastAsia="仿宋" w:cs="仿宋"/>
          <w:spacing w:val="-18"/>
          <w:sz w:val="32"/>
          <w:szCs w:val="32"/>
        </w:rPr>
        <w:t>的</w:t>
      </w:r>
      <w:r>
        <w:rPr>
          <w:rFonts w:ascii="仿宋" w:hAnsi="仿宋" w:eastAsia="仿宋" w:cs="仿宋"/>
          <w:spacing w:val="-96"/>
          <w:sz w:val="32"/>
          <w:szCs w:val="32"/>
        </w:rPr>
        <w:t xml:space="preserve"> </w:t>
      </w:r>
      <w:r>
        <w:rPr>
          <w:rFonts w:ascii="仿宋" w:hAnsi="仿宋" w:eastAsia="仿宋" w:cs="仿宋"/>
          <w:spacing w:val="-18"/>
          <w:sz w:val="32"/>
          <w:szCs w:val="32"/>
          <w:u w:val="single" w:color="auto"/>
        </w:rPr>
        <w:t xml:space="preserve">        </w:t>
      </w:r>
      <w:r>
        <w:rPr>
          <w:rFonts w:hint="eastAsia" w:ascii="仿宋" w:hAnsi="仿宋" w:eastAsia="仿宋" w:cs="仿宋"/>
          <w:sz w:val="32"/>
          <w:szCs w:val="32"/>
          <w:u w:val="single" w:color="auto"/>
          <w:lang w:val="en-US" w:eastAsia="zh-CN"/>
        </w:rPr>
        <w:t>(公司/单位名称)</w:t>
      </w:r>
      <w:r>
        <w:rPr>
          <w:rFonts w:hint="eastAsia" w:ascii="仿宋" w:hAnsi="仿宋" w:eastAsia="仿宋" w:cs="仿宋"/>
          <w:sz w:val="32"/>
          <w:szCs w:val="32"/>
          <w:u w:val="none" w:color="auto"/>
          <w:lang w:val="en-US" w:eastAsia="zh-CN"/>
        </w:rPr>
        <w:t>的</w:t>
      </w:r>
      <w:r>
        <w:rPr>
          <w:rFonts w:hint="eastAsia" w:ascii="仿宋" w:hAnsi="仿宋" w:eastAsia="仿宋" w:cs="仿宋"/>
          <w:sz w:val="32"/>
          <w:szCs w:val="32"/>
          <w:u w:val="single" w:color="auto"/>
          <w:lang w:val="en-US" w:eastAsia="zh-CN"/>
        </w:rPr>
        <w:t>(法定代表人 )</w:t>
      </w:r>
      <w:r>
        <w:rPr>
          <w:rFonts w:hint="eastAsia" w:ascii="仿宋" w:hAnsi="仿宋" w:eastAsia="仿宋" w:cs="仿宋"/>
          <w:sz w:val="32"/>
          <w:szCs w:val="32"/>
          <w:u w:val="none" w:color="auto"/>
          <w:lang w:val="en-US" w:eastAsia="zh-CN"/>
        </w:rPr>
        <w:t>代表本公司授权</w:t>
      </w:r>
      <w:r>
        <w:rPr>
          <w:rFonts w:hint="eastAsia" w:ascii="仿宋" w:hAnsi="仿宋" w:eastAsia="仿宋" w:cs="仿宋"/>
          <w:sz w:val="32"/>
          <w:szCs w:val="32"/>
          <w:u w:val="single" w:color="auto"/>
          <w:lang w:val="en-US" w:eastAsia="zh-CN"/>
        </w:rPr>
        <w:t>(被授权人姓名)</w:t>
      </w:r>
      <w:r>
        <w:rPr>
          <w:rFonts w:hint="eastAsia" w:ascii="仿宋" w:hAnsi="仿宋" w:eastAsia="仿宋" w:cs="仿宋"/>
          <w:sz w:val="32"/>
          <w:szCs w:val="32"/>
          <w:u w:val="none" w:color="auto"/>
          <w:lang w:val="en-US" w:eastAsia="zh-CN"/>
        </w:rPr>
        <w:t>为</w:t>
      </w:r>
      <w:r>
        <w:rPr>
          <w:rFonts w:ascii="仿宋" w:hAnsi="仿宋" w:eastAsia="仿宋" w:cs="仿宋"/>
          <w:spacing w:val="8"/>
          <w:sz w:val="32"/>
          <w:szCs w:val="32"/>
        </w:rPr>
        <w:t>本公</w:t>
      </w:r>
      <w:r>
        <w:rPr>
          <w:rFonts w:ascii="仿宋" w:hAnsi="仿宋" w:eastAsia="仿宋" w:cs="仿宋"/>
          <w:spacing w:val="7"/>
          <w:sz w:val="32"/>
          <w:szCs w:val="32"/>
        </w:rPr>
        <w:t>司(单位)</w:t>
      </w:r>
      <w:r>
        <w:rPr>
          <w:rFonts w:ascii="仿宋" w:hAnsi="仿宋" w:eastAsia="仿宋" w:cs="仿宋"/>
          <w:spacing w:val="-6"/>
          <w:kern w:val="10"/>
          <w:sz w:val="32"/>
          <w:szCs w:val="32"/>
        </w:rPr>
        <w:t>的唯一合法代理人，全权处理贵省(区、市)药品医用耗材网上采购交易活动有关的一切事宜，包括但不限于注册账号、获取密码、用户管理、开通结算账户、网上采购交易、信息变更等，并保证提交的文件材料真实、完整、合法、有效，否则承担相应法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本公司(单位)承诺严格管理账号密码，通过该账号进行的所有操作均为本公司(单位)行为，因密码泄漏、修改或操作失误造成的全部责任由本公司(单位)自行承担。</w:t>
      </w:r>
    </w:p>
    <w:p>
      <w:pPr>
        <w:keepNext w:val="0"/>
        <w:keepLines w:val="0"/>
        <w:pageBreakBefore w:val="0"/>
        <w:widowControl w:val="0"/>
        <w:kinsoku/>
        <w:wordWrap/>
        <w:overflowPunct/>
        <w:topLinePunct w:val="0"/>
        <w:autoSpaceDE/>
        <w:autoSpaceDN/>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 xml:space="preserve">本授权书于 </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年  月</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日生效，特此声明。</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hint="eastAsia" w:ascii="仿宋" w:hAnsi="仿宋" w:eastAsia="仿宋" w:cs="仿宋"/>
          <w:spacing w:val="-6"/>
          <w:kern w:val="10"/>
          <w:sz w:val="32"/>
          <w:szCs w:val="32"/>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hint="eastAsia" w:ascii="仿宋" w:hAnsi="仿宋" w:eastAsia="仿宋" w:cs="仿宋"/>
          <w:spacing w:val="-6"/>
          <w:kern w:val="10"/>
          <w:sz w:val="32"/>
          <w:szCs w:val="32"/>
          <w:lang w:val="en-US" w:eastAsia="zh-CN"/>
        </w:rPr>
        <w:t xml:space="preserve">法定代表人（签字或盖章）：      </w:t>
      </w:r>
      <w:r>
        <w:rPr>
          <w:rFonts w:ascii="仿宋" w:hAnsi="仿宋" w:eastAsia="仿宋" w:cs="仿宋"/>
          <w:spacing w:val="-6"/>
          <w:kern w:val="10"/>
          <w:sz w:val="32"/>
          <w:szCs w:val="32"/>
        </w:rPr>
        <w:t>联系电话：</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被授权人(签字或盖章):</w:t>
      </w:r>
      <w:r>
        <w:rPr>
          <w:rFonts w:hint="eastAsia" w:ascii="仿宋" w:hAnsi="仿宋" w:eastAsia="仿宋" w:cs="仿宋"/>
          <w:spacing w:val="-6"/>
          <w:kern w:val="10"/>
          <w:sz w:val="32"/>
          <w:szCs w:val="32"/>
          <w:lang w:val="en-US" w:eastAsia="zh-CN"/>
        </w:rPr>
        <w:t xml:space="preserve">           </w:t>
      </w:r>
      <w:r>
        <w:rPr>
          <w:rFonts w:ascii="仿宋" w:hAnsi="仿宋" w:eastAsia="仿宋" w:cs="仿宋"/>
          <w:spacing w:val="-6"/>
          <w:kern w:val="10"/>
          <w:sz w:val="32"/>
          <w:szCs w:val="32"/>
        </w:rPr>
        <w:t>联系电话：</w:t>
      </w:r>
    </w:p>
    <w:p>
      <w:pPr>
        <w:keepNext w:val="0"/>
        <w:keepLines w:val="0"/>
        <w:pageBreakBefore w:val="0"/>
        <w:widowControl w:val="0"/>
        <w:kinsoku w:val="0"/>
        <w:wordWrap/>
        <w:overflowPunct w:val="0"/>
        <w:topLinePunct w:val="0"/>
        <w:autoSpaceDE w:val="0"/>
        <w:autoSpaceDN w:val="0"/>
        <w:bidi w:val="0"/>
        <w:adjustRightInd/>
        <w:snapToGrid/>
        <w:spacing w:line="560" w:lineRule="exact"/>
        <w:ind w:right="0" w:firstLine="616" w:firstLineChars="200"/>
        <w:jc w:val="both"/>
        <w:textAlignment w:val="auto"/>
        <w:rPr>
          <w:rFonts w:ascii="仿宋" w:hAnsi="仿宋" w:eastAsia="仿宋" w:cs="仿宋"/>
          <w:spacing w:val="-6"/>
          <w:kern w:val="10"/>
          <w:sz w:val="32"/>
          <w:szCs w:val="32"/>
        </w:rPr>
      </w:pPr>
      <w:r>
        <w:rPr>
          <w:rFonts w:ascii="仿宋" w:hAnsi="仿宋" w:eastAsia="仿宋" w:cs="仿宋"/>
          <w:spacing w:val="-6"/>
          <w:kern w:val="10"/>
          <w:sz w:val="32"/>
          <w:szCs w:val="32"/>
        </w:rPr>
        <w:t>单位名称(盖章)及日期：</w:t>
      </w:r>
    </w:p>
    <w:tbl>
      <w:tblPr>
        <w:tblStyle w:val="48"/>
        <w:tblpPr w:leftFromText="180" w:rightFromText="180" w:vertAnchor="page" w:horzAnchor="page" w:tblpX="1960" w:tblpY="11651"/>
        <w:tblOverlap w:val="never"/>
        <w:tblW w:w="8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20"/>
        <w:gridCol w:w="4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trPr>
        <w:tc>
          <w:tcPr>
            <w:tcW w:w="4020" w:type="dxa"/>
            <w:vAlign w:val="top"/>
          </w:tcPr>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pacing w:val="2"/>
                <w:sz w:val="26"/>
                <w:szCs w:val="26"/>
              </w:rPr>
              <w:t>被授权人</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z w:val="26"/>
                <w:szCs w:val="26"/>
              </w:rPr>
              <w:t>居民身份证复印件正面粘贴处</w:t>
            </w:r>
          </w:p>
        </w:tc>
        <w:tc>
          <w:tcPr>
            <w:tcW w:w="4020" w:type="dxa"/>
            <w:vAlign w:val="top"/>
          </w:tcPr>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textAlignment w:val="auto"/>
              <w:rPr>
                <w:rFonts w:ascii="Arial"/>
                <w:sz w:val="21"/>
              </w:rPr>
            </w:pP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pacing w:val="2"/>
                <w:sz w:val="26"/>
                <w:szCs w:val="26"/>
              </w:rPr>
              <w:t>被授权人</w:t>
            </w:r>
          </w:p>
          <w:p>
            <w:pPr>
              <w:keepNext w:val="0"/>
              <w:keepLines w:val="0"/>
              <w:pageBreakBefore w:val="0"/>
              <w:widowControl w:val="0"/>
              <w:kinsoku w:val="0"/>
              <w:wordWrap/>
              <w:overflowPunct w:val="0"/>
              <w:topLinePunct w:val="0"/>
              <w:autoSpaceDE w:val="0"/>
              <w:autoSpaceDN w:val="0"/>
              <w:bidi w:val="0"/>
              <w:adjustRightInd/>
              <w:snapToGrid/>
              <w:spacing w:line="560" w:lineRule="exact"/>
              <w:ind w:left="0" w:leftChars="0" w:firstLine="0" w:firstLineChars="0"/>
              <w:jc w:val="center"/>
              <w:textAlignment w:val="auto"/>
              <w:rPr>
                <w:rFonts w:ascii="宋体" w:hAnsi="宋体" w:eastAsia="宋体" w:cs="宋体"/>
                <w:sz w:val="26"/>
                <w:szCs w:val="26"/>
              </w:rPr>
            </w:pPr>
            <w:r>
              <w:rPr>
                <w:rFonts w:ascii="宋体" w:hAnsi="宋体" w:eastAsia="宋体" w:cs="宋体"/>
                <w:sz w:val="26"/>
                <w:szCs w:val="26"/>
              </w:rPr>
              <w:t>居民身份证复印件背面粘贴处</w:t>
            </w:r>
          </w:p>
        </w:tc>
      </w:tr>
    </w:tbl>
    <w:p>
      <w:pPr>
        <w:pStyle w:val="27"/>
      </w:pPr>
    </w:p>
    <w:p>
      <w:pPr>
        <w:pStyle w:val="27"/>
        <w:rPr>
          <w:rFonts w:hint="eastAsia" w:ascii="宋体" w:hAnsi="宋体" w:eastAsia="宋体" w:cs="宋体"/>
          <w:sz w:val="26"/>
          <w:szCs w:val="26"/>
          <w:lang w:eastAsia="zh-CN"/>
        </w:rPr>
      </w:pPr>
      <w:r>
        <w:rPr>
          <w:rFonts w:ascii="宋体" w:hAnsi="宋体" w:eastAsia="宋体" w:cs="宋体"/>
          <w:sz w:val="26"/>
          <w:szCs w:val="26"/>
        </w:rPr>
        <w:t>说明：身份证复印件须盖公司(单位)章</w:t>
      </w:r>
      <w:r>
        <w:rPr>
          <w:rFonts w:hint="eastAsia" w:ascii="宋体" w:hAnsi="宋体" w:eastAsia="宋体" w:cs="宋体"/>
          <w:sz w:val="26"/>
          <w:szCs w:val="26"/>
          <w:lang w:eastAsia="zh-CN"/>
        </w:rPr>
        <w:t>。</w:t>
      </w:r>
    </w:p>
    <w:p>
      <w:pPr>
        <w:pStyle w:val="27"/>
        <w:rPr>
          <w:rFonts w:hint="eastAsia" w:ascii="宋体" w:hAnsi="宋体" w:eastAsia="宋体" w:cs="宋体"/>
          <w:sz w:val="26"/>
          <w:szCs w:val="26"/>
          <w:lang w:eastAsia="zh-CN"/>
        </w:rPr>
      </w:pPr>
    </w:p>
    <w:p>
      <w:pPr>
        <w:pStyle w:val="27"/>
        <w:rPr>
          <w:rFonts w:ascii="宋体" w:hAnsi="宋体" w:eastAsia="宋体" w:cs="宋体"/>
          <w:b/>
          <w:sz w:val="28"/>
          <w:szCs w:val="26"/>
        </w:rPr>
      </w:pPr>
      <w:r>
        <w:rPr>
          <w:rFonts w:ascii="宋体" w:hAnsi="宋体" w:eastAsia="宋体" w:cs="宋体"/>
          <w:b/>
          <w:sz w:val="28"/>
          <w:szCs w:val="26"/>
        </w:rPr>
        <w:t>法定代表人有效证件（包括身份证、护照等）复印件</w:t>
      </w:r>
    </w:p>
    <w:p>
      <w:pPr>
        <w:pStyle w:val="27"/>
        <w:rPr>
          <w:rFonts w:hint="eastAsia" w:ascii="宋体" w:hAnsi="宋体" w:eastAsia="宋体" w:cs="宋体"/>
          <w:b/>
          <w:sz w:val="28"/>
          <w:szCs w:val="26"/>
          <w:lang w:val="en-US" w:eastAsia="zh-CN"/>
        </w:rPr>
        <w:sectPr>
          <w:footerReference r:id="rId11" w:type="default"/>
          <w:pgSz w:w="11906" w:h="16838"/>
          <w:pgMar w:top="1440" w:right="1800" w:bottom="1440" w:left="1800" w:header="0" w:footer="899" w:gutter="0"/>
          <w:lnNumType w:countBy="0" w:restart="continuous"/>
          <w:pgNumType w:fmt="decimal" w:start="1"/>
          <w:cols w:equalWidth="0" w:num="1">
            <w:col w:w="8979"/>
          </w:cols>
        </w:sectPr>
      </w:pPr>
    </w:p>
    <w:p>
      <w:pPr>
        <w:pStyle w:val="3"/>
        <w:bidi w:val="0"/>
        <w:ind w:left="0" w:leftChars="0" w:firstLine="0" w:firstLineChars="0"/>
      </w:pPr>
      <w:bookmarkStart w:id="42" w:name="_Toc28728"/>
      <w:r>
        <w:rPr>
          <w:rFonts w:hint="eastAsia" w:ascii="仿宋" w:hAnsi="仿宋" w:eastAsia="仿宋" w:cs="仿宋"/>
          <w:lang w:val="en-US" w:eastAsia="zh-CN"/>
        </w:rPr>
        <w:t xml:space="preserve">附件3             </w:t>
      </w:r>
      <w:r>
        <w:rPr>
          <w:rFonts w:hint="eastAsia"/>
          <w:sz w:val="32"/>
          <w:szCs w:val="32"/>
        </w:rPr>
        <w:t>药品申报企业承诺函</w:t>
      </w:r>
      <w:bookmarkEnd w:id="42"/>
    </w:p>
    <w:p>
      <w:pPr>
        <w:ind w:firstLine="0" w:firstLineChars="0"/>
      </w:pPr>
    </w:p>
    <w:p>
      <w:pPr>
        <w:ind w:firstLine="0" w:firstLineChars="0"/>
        <w:rPr>
          <w:rFonts w:hint="eastAsia" w:ascii="仿宋" w:hAnsi="仿宋" w:eastAsia="仿宋" w:cs="仿宋"/>
          <w:sz w:val="30"/>
          <w:szCs w:val="30"/>
        </w:rPr>
      </w:pPr>
      <w:r>
        <w:rPr>
          <w:rFonts w:hint="eastAsia" w:ascii="仿宋" w:hAnsi="仿宋" w:eastAsia="仿宋" w:cs="仿宋"/>
          <w:sz w:val="30"/>
          <w:szCs w:val="30"/>
        </w:rPr>
        <w:t>陕西省公共资源交易中心：</w:t>
      </w:r>
    </w:p>
    <w:p>
      <w:pPr>
        <w:ind w:firstLine="600"/>
        <w:rPr>
          <w:rFonts w:hint="eastAsia" w:ascii="仿宋" w:hAnsi="仿宋" w:eastAsia="仿宋" w:cs="仿宋"/>
          <w:sz w:val="30"/>
          <w:szCs w:val="30"/>
        </w:rPr>
      </w:pPr>
      <w:r>
        <w:rPr>
          <w:rFonts w:hint="eastAsia" w:ascii="仿宋" w:hAnsi="仿宋" w:eastAsia="仿宋" w:cs="仿宋"/>
          <w:sz w:val="30"/>
          <w:szCs w:val="30"/>
        </w:rPr>
        <w:t>依据《</w:t>
      </w:r>
      <w:r>
        <w:rPr>
          <w:rFonts w:hint="eastAsia" w:ascii="仿宋" w:hAnsi="仿宋" w:eastAsia="仿宋" w:cs="仿宋"/>
          <w:sz w:val="30"/>
          <w:szCs w:val="30"/>
          <w:lang w:val="en-US" w:eastAsia="zh-CN"/>
        </w:rPr>
        <w:t>十四</w:t>
      </w:r>
      <w:r>
        <w:rPr>
          <w:rFonts w:hint="eastAsia" w:ascii="仿宋" w:hAnsi="仿宋" w:eastAsia="仿宋" w:cs="仿宋"/>
          <w:sz w:val="30"/>
          <w:szCs w:val="30"/>
        </w:rPr>
        <w:t>省（</w:t>
      </w:r>
      <w:r>
        <w:rPr>
          <w:rFonts w:hint="eastAsia" w:ascii="仿宋" w:hAnsi="仿宋" w:eastAsia="仿宋" w:cs="仿宋"/>
          <w:sz w:val="30"/>
          <w:szCs w:val="30"/>
          <w:lang w:val="en-US" w:eastAsia="zh-CN"/>
        </w:rPr>
        <w:t>区、兵团</w:t>
      </w:r>
      <w:r>
        <w:rPr>
          <w:rFonts w:hint="eastAsia" w:ascii="仿宋" w:hAnsi="仿宋" w:eastAsia="仿宋" w:cs="仿宋"/>
          <w:sz w:val="30"/>
          <w:szCs w:val="30"/>
        </w:rPr>
        <w:t>）药品集中带量采购文件》（编号：SX-YPDL202</w:t>
      </w:r>
      <w:r>
        <w:rPr>
          <w:rFonts w:hint="eastAsia" w:ascii="仿宋" w:hAnsi="仿宋" w:eastAsia="仿宋" w:cs="仿宋"/>
          <w:sz w:val="30"/>
          <w:szCs w:val="30"/>
          <w:lang w:val="en-US" w:eastAsia="zh-CN"/>
        </w:rPr>
        <w:t>4</w:t>
      </w:r>
      <w:r>
        <w:rPr>
          <w:rFonts w:hint="eastAsia" w:ascii="仿宋" w:hAnsi="仿宋" w:eastAsia="仿宋" w:cs="仿宋"/>
          <w:sz w:val="30"/>
          <w:szCs w:val="30"/>
        </w:rPr>
        <w:t>-01），我方承诺确保在采购周期内满足中选药品约定采购量需求，具有履行协议必须具备的药品供应能力，并对药品的质量和供应负责。一旦中选，将及时、足量按要求组织生产，并向配送企业发送药品，满足医药机构临床用药需求。</w:t>
      </w:r>
    </w:p>
    <w:p>
      <w:pPr>
        <w:ind w:firstLine="600"/>
        <w:rPr>
          <w:rFonts w:hint="eastAsia" w:ascii="仿宋" w:hAnsi="仿宋" w:eastAsia="仿宋" w:cs="仿宋"/>
          <w:sz w:val="30"/>
          <w:szCs w:val="30"/>
        </w:rPr>
      </w:pPr>
      <w:r>
        <w:rPr>
          <w:rFonts w:hint="eastAsia" w:ascii="仿宋" w:hAnsi="仿宋" w:eastAsia="仿宋" w:cs="仿宋"/>
          <w:sz w:val="30"/>
          <w:szCs w:val="30"/>
        </w:rPr>
        <w:t>我方承诺申报价不低于本企业该品种成本价。</w:t>
      </w:r>
    </w:p>
    <w:p>
      <w:pPr>
        <w:ind w:firstLine="600"/>
        <w:rPr>
          <w:rFonts w:hint="eastAsia" w:ascii="仿宋" w:hAnsi="仿宋" w:eastAsia="仿宋" w:cs="仿宋"/>
          <w:sz w:val="30"/>
          <w:szCs w:val="30"/>
        </w:rPr>
      </w:pPr>
      <w:r>
        <w:rPr>
          <w:rFonts w:hint="eastAsia" w:ascii="仿宋" w:hAnsi="仿宋" w:eastAsia="仿宋" w:cs="仿宋"/>
          <w:sz w:val="30"/>
          <w:szCs w:val="30"/>
        </w:rPr>
        <w:t>我方承诺提交的所有资料真实、全面、有效可靠，否则一切后果由本企业承担。</w:t>
      </w:r>
    </w:p>
    <w:p>
      <w:pPr>
        <w:ind w:firstLine="600"/>
        <w:rPr>
          <w:rFonts w:hint="eastAsia" w:ascii="仿宋" w:hAnsi="仿宋" w:eastAsia="仿宋" w:cs="仿宋"/>
          <w:sz w:val="30"/>
          <w:szCs w:val="30"/>
        </w:rPr>
      </w:pPr>
      <w:r>
        <w:rPr>
          <w:rFonts w:hint="eastAsia" w:ascii="仿宋" w:hAnsi="仿宋" w:eastAsia="仿宋" w:cs="仿宋"/>
          <w:sz w:val="30"/>
          <w:szCs w:val="30"/>
        </w:rPr>
        <w:t>特此承诺。</w:t>
      </w:r>
    </w:p>
    <w:p>
      <w:pPr>
        <w:ind w:firstLine="600"/>
        <w:rPr>
          <w:rFonts w:hint="eastAsia" w:ascii="仿宋" w:hAnsi="仿宋" w:eastAsia="仿宋" w:cs="仿宋"/>
          <w:sz w:val="30"/>
          <w:szCs w:val="30"/>
        </w:rPr>
      </w:pPr>
    </w:p>
    <w:p>
      <w:pPr>
        <w:ind w:firstLine="600"/>
        <w:rPr>
          <w:rFonts w:hint="eastAsia" w:ascii="仿宋" w:hAnsi="仿宋" w:eastAsia="仿宋" w:cs="仿宋"/>
          <w:sz w:val="30"/>
          <w:szCs w:val="30"/>
        </w:rPr>
      </w:pPr>
    </w:p>
    <w:p>
      <w:pPr>
        <w:ind w:firstLine="600"/>
        <w:rPr>
          <w:rFonts w:hint="eastAsia" w:ascii="仿宋" w:hAnsi="仿宋" w:eastAsia="仿宋" w:cs="仿宋"/>
          <w:sz w:val="30"/>
          <w:szCs w:val="30"/>
        </w:rPr>
      </w:pPr>
    </w:p>
    <w:p>
      <w:pPr>
        <w:ind w:firstLine="600"/>
        <w:jc w:val="center"/>
        <w:rPr>
          <w:rFonts w:hint="eastAsia" w:ascii="仿宋" w:hAnsi="仿宋" w:eastAsia="仿宋" w:cs="仿宋"/>
          <w:sz w:val="30"/>
          <w:szCs w:val="30"/>
        </w:rPr>
      </w:pPr>
      <w:r>
        <w:rPr>
          <w:rFonts w:hint="eastAsia" w:ascii="仿宋" w:hAnsi="仿宋" w:eastAsia="仿宋" w:cs="仿宋"/>
          <w:sz w:val="30"/>
          <w:szCs w:val="30"/>
        </w:rPr>
        <w:t xml:space="preserve">        申报企业（盖章）：</w:t>
      </w:r>
      <w:r>
        <w:rPr>
          <w:rFonts w:hint="eastAsia" w:ascii="仿宋" w:hAnsi="仿宋" w:eastAsia="仿宋" w:cs="仿宋"/>
          <w:sz w:val="30"/>
          <w:szCs w:val="30"/>
          <w:u w:val="single"/>
        </w:rPr>
        <w:t xml:space="preserve">                 </w:t>
      </w:r>
    </w:p>
    <w:p>
      <w:pPr>
        <w:ind w:firstLine="600"/>
        <w:jc w:val="center"/>
        <w:rPr>
          <w:rFonts w:hint="eastAsia" w:ascii="仿宋" w:hAnsi="仿宋" w:eastAsia="仿宋" w:cs="仿宋"/>
          <w:sz w:val="30"/>
          <w:szCs w:val="30"/>
        </w:rPr>
      </w:pPr>
      <w:r>
        <w:rPr>
          <w:rFonts w:hint="eastAsia" w:ascii="仿宋" w:hAnsi="仿宋" w:eastAsia="仿宋" w:cs="仿宋"/>
          <w:sz w:val="30"/>
          <w:szCs w:val="30"/>
        </w:rPr>
        <w:t xml:space="preserve">                      日期：</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napToGrid w:val="0"/>
        <w:ind w:firstLine="750" w:firstLineChars="250"/>
        <w:rPr>
          <w:rFonts w:hint="eastAsia" w:ascii="仿宋" w:hAnsi="仿宋"/>
          <w:szCs w:val="30"/>
        </w:rPr>
      </w:pPr>
    </w:p>
    <w:p>
      <w:pPr>
        <w:spacing w:line="360" w:lineRule="auto"/>
        <w:ind w:firstLine="0" w:firstLineChars="0"/>
        <w:rPr>
          <w:rFonts w:eastAsia="仿宋_GB2312"/>
          <w:sz w:val="24"/>
        </w:rPr>
      </w:pPr>
    </w:p>
    <w:p>
      <w:pPr>
        <w:pStyle w:val="27"/>
        <w:rPr>
          <w:rFonts w:eastAsia="仿宋_GB2312"/>
          <w:sz w:val="24"/>
        </w:rPr>
      </w:pPr>
    </w:p>
    <w:p>
      <w:pPr>
        <w:pStyle w:val="27"/>
        <w:rPr>
          <w:rFonts w:eastAsia="仿宋_GB2312"/>
          <w:sz w:val="24"/>
        </w:rPr>
      </w:pPr>
    </w:p>
    <w:p>
      <w:pPr>
        <w:pStyle w:val="27"/>
        <w:rPr>
          <w:rFonts w:eastAsia="仿宋_GB2312"/>
          <w:sz w:val="24"/>
        </w:rPr>
      </w:pPr>
    </w:p>
    <w:p>
      <w:pPr>
        <w:pStyle w:val="3"/>
        <w:ind w:firstLine="0" w:firstLineChars="0"/>
        <w:rPr>
          <w:rFonts w:hint="eastAsia" w:ascii="仿宋" w:hAnsi="仿宋" w:eastAsia="仿宋" w:cs="仿宋"/>
          <w:b w:val="0"/>
          <w:bCs/>
          <w:kern w:val="2"/>
          <w:sz w:val="30"/>
          <w:szCs w:val="30"/>
          <w:lang w:val="en-US" w:eastAsia="zh-CN" w:bidi="ar-SA"/>
        </w:rPr>
      </w:pPr>
      <w:bookmarkStart w:id="43" w:name="_Toc46223022"/>
      <w:bookmarkStart w:id="44" w:name="_Toc87954556"/>
    </w:p>
    <w:p>
      <w:pPr>
        <w:pStyle w:val="3"/>
        <w:ind w:firstLine="0" w:firstLineChars="0"/>
        <w:rPr>
          <w:rFonts w:eastAsia="仿宋_GB2312"/>
          <w:sz w:val="32"/>
          <w:szCs w:val="32"/>
        </w:rPr>
      </w:pPr>
      <w:bookmarkStart w:id="45" w:name="_Toc12691"/>
      <w:r>
        <w:rPr>
          <w:rFonts w:hint="eastAsia" w:ascii="仿宋" w:hAnsi="仿宋" w:eastAsia="仿宋" w:cs="仿宋"/>
          <w:b w:val="0"/>
          <w:bCs/>
          <w:kern w:val="2"/>
          <w:sz w:val="30"/>
          <w:szCs w:val="30"/>
          <w:lang w:val="en-US" w:eastAsia="zh-CN" w:bidi="ar-SA"/>
        </w:rPr>
        <w:t>附件</w:t>
      </w:r>
      <w:bookmarkEnd w:id="43"/>
      <w:r>
        <w:rPr>
          <w:rFonts w:hint="eastAsia" w:ascii="仿宋" w:hAnsi="仿宋" w:eastAsia="仿宋" w:cs="仿宋"/>
          <w:b w:val="0"/>
          <w:bCs/>
          <w:kern w:val="2"/>
          <w:sz w:val="30"/>
          <w:szCs w:val="30"/>
          <w:lang w:val="en-US" w:eastAsia="zh-CN" w:bidi="ar-SA"/>
        </w:rPr>
        <w:t xml:space="preserve">4 </w:t>
      </w:r>
      <w:r>
        <w:rPr>
          <w:rFonts w:hint="eastAsia"/>
        </w:rPr>
        <w:t xml:space="preserve">        </w:t>
      </w:r>
      <w:r>
        <w:rPr>
          <w:rFonts w:ascii="黑体" w:hAnsi="黑体"/>
          <w:sz w:val="32"/>
          <w:szCs w:val="32"/>
        </w:rPr>
        <w:t>“</w:t>
      </w:r>
      <w:r>
        <w:rPr>
          <w:rFonts w:hint="eastAsia" w:ascii="黑体" w:hAnsi="黑体"/>
          <w:sz w:val="32"/>
          <w:szCs w:val="32"/>
        </w:rPr>
        <w:t>申报产品一览表</w:t>
      </w:r>
      <w:r>
        <w:rPr>
          <w:rFonts w:ascii="黑体" w:hAnsi="黑体"/>
          <w:sz w:val="32"/>
          <w:szCs w:val="32"/>
        </w:rPr>
        <w:t>”</w:t>
      </w:r>
      <w:r>
        <w:rPr>
          <w:rFonts w:hint="eastAsia" w:ascii="黑体" w:hAnsi="黑体"/>
          <w:sz w:val="32"/>
          <w:szCs w:val="32"/>
        </w:rPr>
        <w:t>信封封面样张</w:t>
      </w:r>
      <w:bookmarkEnd w:id="44"/>
      <w:bookmarkEnd w:id="45"/>
    </w:p>
    <w:p>
      <w:pPr>
        <w:spacing w:line="579" w:lineRule="exact"/>
        <w:ind w:firstLine="1004" w:firstLineChars="250"/>
        <w:rPr>
          <w:rFonts w:ascii="仿宋" w:hAnsi="仿宋"/>
          <w:b/>
          <w:sz w:val="40"/>
        </w:rPr>
      </w:pPr>
    </w:p>
    <w:p>
      <w:pPr>
        <w:spacing w:line="579" w:lineRule="exact"/>
        <w:ind w:firstLine="1004" w:firstLineChars="250"/>
        <w:rPr>
          <w:rFonts w:ascii="仿宋" w:hAnsi="仿宋"/>
          <w:b/>
          <w:sz w:val="40"/>
        </w:rPr>
      </w:pPr>
    </w:p>
    <w:p>
      <w:pPr>
        <w:spacing w:line="579" w:lineRule="exact"/>
        <w:ind w:firstLine="1004" w:firstLineChars="250"/>
        <w:rPr>
          <w:b/>
          <w:sz w:val="40"/>
        </w:rPr>
      </w:pPr>
      <w:r>
        <w:rPr>
          <w:rFonts w:hint="eastAsia" w:ascii="仿宋" w:hAnsi="仿宋"/>
          <w:b/>
          <w:sz w:val="40"/>
        </w:rPr>
        <w:t>□</w:t>
      </w:r>
      <w:r>
        <w:rPr>
          <w:b/>
          <w:sz w:val="40"/>
        </w:rPr>
        <w:t>报价表</w:t>
      </w:r>
    </w:p>
    <w:p>
      <w:pPr>
        <w:spacing w:line="579" w:lineRule="exact"/>
        <w:ind w:firstLine="750" w:firstLineChars="250"/>
        <w:rPr>
          <w:rFonts w:ascii="仿宋_GB2312" w:eastAsia="仿宋_GB2312"/>
        </w:rPr>
      </w:pP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2370"/>
        <w:gridCol w:w="2977"/>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1" w:firstLineChars="0"/>
              <w:jc w:val="center"/>
              <w:rPr>
                <w:b/>
              </w:rPr>
            </w:pPr>
            <w:r>
              <w:rPr>
                <w:rFonts w:hint="eastAsia"/>
                <w:b/>
              </w:rPr>
              <w:t>编号</w:t>
            </w:r>
          </w:p>
        </w:tc>
        <w:tc>
          <w:tcPr>
            <w:tcW w:w="1308" w:type="pct"/>
            <w:vAlign w:val="center"/>
          </w:tcPr>
          <w:p>
            <w:pPr>
              <w:spacing w:line="579" w:lineRule="exact"/>
              <w:ind w:firstLine="0" w:firstLineChars="0"/>
              <w:jc w:val="center"/>
              <w:rPr>
                <w:b/>
              </w:rPr>
            </w:pPr>
            <w:r>
              <w:rPr>
                <w:rFonts w:hint="eastAsia"/>
                <w:b/>
              </w:rPr>
              <w:t>通用名</w:t>
            </w:r>
          </w:p>
        </w:tc>
        <w:tc>
          <w:tcPr>
            <w:tcW w:w="1643" w:type="pct"/>
            <w:vAlign w:val="center"/>
          </w:tcPr>
          <w:p>
            <w:pPr>
              <w:spacing w:line="579" w:lineRule="exact"/>
              <w:ind w:firstLine="0" w:firstLineChars="0"/>
              <w:jc w:val="center"/>
              <w:rPr>
                <w:b/>
              </w:rPr>
            </w:pPr>
            <w:r>
              <w:rPr>
                <w:rFonts w:hint="eastAsia"/>
                <w:b/>
              </w:rPr>
              <w:t>规格包装</w:t>
            </w:r>
          </w:p>
        </w:tc>
        <w:tc>
          <w:tcPr>
            <w:tcW w:w="1341" w:type="pct"/>
            <w:vAlign w:val="center"/>
          </w:tcPr>
          <w:p>
            <w:pPr>
              <w:spacing w:line="579" w:lineRule="exact"/>
              <w:ind w:firstLine="0" w:firstLineChars="0"/>
              <w:jc w:val="center"/>
              <w:rPr>
                <w:b/>
              </w:rPr>
            </w:pPr>
            <w:r>
              <w:rPr>
                <w:rFonts w:hint="eastAsia"/>
                <w:b/>
              </w:rPr>
              <w:t>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8" w:type="pct"/>
            <w:vAlign w:val="center"/>
          </w:tcPr>
          <w:p>
            <w:pPr>
              <w:spacing w:line="579" w:lineRule="exact"/>
              <w:ind w:firstLine="0" w:firstLineChars="0"/>
              <w:jc w:val="center"/>
              <w:rPr>
                <w:rFonts w:ascii="仿宋_GB2312" w:eastAsia="仿宋_GB2312"/>
              </w:rPr>
            </w:pPr>
          </w:p>
        </w:tc>
        <w:tc>
          <w:tcPr>
            <w:tcW w:w="1308" w:type="pct"/>
            <w:vAlign w:val="center"/>
          </w:tcPr>
          <w:p>
            <w:pPr>
              <w:spacing w:line="579" w:lineRule="exact"/>
              <w:ind w:firstLine="600"/>
              <w:jc w:val="center"/>
              <w:rPr>
                <w:rFonts w:ascii="仿宋_GB2312" w:eastAsia="仿宋_GB2312"/>
              </w:rPr>
            </w:pPr>
          </w:p>
        </w:tc>
        <w:tc>
          <w:tcPr>
            <w:tcW w:w="1643" w:type="pct"/>
            <w:vAlign w:val="center"/>
          </w:tcPr>
          <w:p>
            <w:pPr>
              <w:spacing w:line="579" w:lineRule="exact"/>
              <w:ind w:firstLine="600"/>
              <w:jc w:val="center"/>
              <w:rPr>
                <w:rFonts w:ascii="仿宋_GB2312" w:eastAsia="仿宋_GB2312"/>
              </w:rPr>
            </w:pPr>
          </w:p>
        </w:tc>
        <w:tc>
          <w:tcPr>
            <w:tcW w:w="1341" w:type="pct"/>
            <w:vAlign w:val="center"/>
          </w:tcPr>
          <w:p>
            <w:pPr>
              <w:spacing w:line="579" w:lineRule="exact"/>
              <w:ind w:firstLine="600"/>
              <w:jc w:val="center"/>
              <w:rPr>
                <w:rFonts w:ascii="仿宋_GB2312" w:eastAsia="仿宋_GB2312"/>
              </w:rPr>
            </w:pPr>
          </w:p>
        </w:tc>
      </w:tr>
    </w:tbl>
    <w:p>
      <w:pPr>
        <w:spacing w:line="579" w:lineRule="exact"/>
        <w:ind w:firstLine="600"/>
        <w:rPr>
          <w:rFonts w:ascii="仿宋_GB2312" w:eastAsia="仿宋_GB2312"/>
        </w:rPr>
      </w:pPr>
    </w:p>
    <w:p>
      <w:pPr>
        <w:spacing w:line="579" w:lineRule="exact"/>
        <w:ind w:firstLine="600"/>
        <w:rPr>
          <w:rFonts w:ascii="仿宋_GB2312" w:eastAsia="仿宋_GB2312"/>
          <w:u w:val="single"/>
        </w:rPr>
      </w:pPr>
      <w:r>
        <w:rPr>
          <w:rFonts w:hint="eastAsia" w:ascii="仿宋_GB2312" w:eastAsia="仿宋_GB2312"/>
        </w:rPr>
        <w:t>共计品种数：</w:t>
      </w:r>
      <w:r>
        <w:rPr>
          <w:rFonts w:ascii="仿宋_GB2312" w:eastAsia="仿宋_GB2312"/>
          <w:u w:val="single"/>
        </w:rPr>
        <w:t xml:space="preserve">               </w:t>
      </w:r>
    </w:p>
    <w:p>
      <w:pPr>
        <w:spacing w:line="579" w:lineRule="exact"/>
        <w:ind w:firstLine="600"/>
        <w:rPr>
          <w:rFonts w:ascii="仿宋_GB2312" w:eastAsia="仿宋_GB2312"/>
          <w:u w:val="single"/>
        </w:rPr>
      </w:pPr>
      <w:r>
        <w:rPr>
          <w:rFonts w:hint="eastAsia" w:ascii="仿宋_GB2312" w:eastAsia="仿宋_GB2312"/>
        </w:rPr>
        <w:t>申报企业：</w:t>
      </w:r>
      <w:r>
        <w:rPr>
          <w:rFonts w:ascii="仿宋_GB2312" w:eastAsia="仿宋_GB2312"/>
          <w:u w:val="single"/>
        </w:rPr>
        <w:t xml:space="preserve">                                          </w:t>
      </w:r>
    </w:p>
    <w:p>
      <w:pPr>
        <w:spacing w:line="579" w:lineRule="exact"/>
        <w:ind w:firstLine="600"/>
        <w:rPr>
          <w:rFonts w:ascii="仿宋_GB2312" w:eastAsia="仿宋_GB2312"/>
          <w:u w:val="single"/>
        </w:rPr>
      </w:pPr>
    </w:p>
    <w:p>
      <w:pPr>
        <w:spacing w:line="579" w:lineRule="exact"/>
        <w:ind w:firstLine="600"/>
        <w:rPr>
          <w:rFonts w:ascii="仿宋_GB2312" w:eastAsia="仿宋_GB2312"/>
          <w:u w:val="single"/>
        </w:rPr>
      </w:pPr>
    </w:p>
    <w:p>
      <w:pPr>
        <w:spacing w:line="579" w:lineRule="exact"/>
        <w:ind w:firstLine="0" w:firstLineChars="0"/>
        <w:rPr>
          <w:rFonts w:ascii="仿宋_GB2312" w:eastAsia="仿宋_GB2312"/>
        </w:rPr>
      </w:pPr>
      <w:r>
        <w:rPr>
          <w:rFonts w:hint="eastAsia" w:ascii="仿宋_GB2312" w:eastAsia="仿宋_GB2312"/>
        </w:rPr>
        <w:t>工作机构：陕西省公共资源交易中心</w:t>
      </w:r>
    </w:p>
    <w:p>
      <w:pPr>
        <w:spacing w:line="579" w:lineRule="exact"/>
        <w:ind w:firstLine="600"/>
        <w:rPr>
          <w:rFonts w:ascii="仿宋_GB2312" w:eastAsia="仿宋_GB2312"/>
          <w:u w:val="single"/>
        </w:rPr>
      </w:pPr>
    </w:p>
    <w:p>
      <w:pPr>
        <w:spacing w:line="579" w:lineRule="exact"/>
        <w:ind w:firstLine="600"/>
        <w:rPr>
          <w:rFonts w:ascii="仿宋_GB2312" w:eastAsia="仿宋_GB2312"/>
        </w:rPr>
      </w:pPr>
    </w:p>
    <w:p>
      <w:pPr>
        <w:spacing w:line="360" w:lineRule="auto"/>
        <w:ind w:firstLine="0" w:firstLineChars="0"/>
        <w:rPr>
          <w:rStyle w:val="49"/>
          <w:rFonts w:hint="eastAsia"/>
          <w:lang w:val="en-US" w:eastAsia="zh-CN"/>
        </w:rPr>
      </w:pPr>
      <w:r>
        <w:rPr>
          <w:rFonts w:eastAsia="仿宋_GB2312"/>
          <w:sz w:val="24"/>
        </w:rPr>
        <w:br w:type="page"/>
      </w:r>
      <w:bookmarkStart w:id="46" w:name="_Toc87954557"/>
      <w:bookmarkStart w:id="47" w:name="_Toc18808"/>
      <w:r>
        <w:rPr>
          <w:rStyle w:val="49"/>
          <w:rFonts w:hint="eastAsia" w:ascii="仿宋" w:hAnsi="仿宋" w:eastAsia="仿宋" w:cs="仿宋"/>
          <w:lang w:val="en-US" w:eastAsia="zh-CN"/>
        </w:rPr>
        <w:t>附件5</w:t>
      </w:r>
      <w:r>
        <w:rPr>
          <w:rStyle w:val="49"/>
          <w:rFonts w:hint="eastAsia"/>
          <w:lang w:val="en-US" w:eastAsia="zh-CN"/>
        </w:rPr>
        <w:t xml:space="preserve">             分组及评分指标证明材料</w:t>
      </w:r>
      <w:bookmarkEnd w:id="46"/>
    </w:p>
    <w:bookmarkEnd w:id="47"/>
    <w:p>
      <w:pPr>
        <w:spacing w:line="400" w:lineRule="atLeast"/>
        <w:ind w:right="-396" w:firstLine="480"/>
        <w:rPr>
          <w:rFonts w:eastAsia="仿宋_GB2312"/>
          <w:sz w:val="24"/>
        </w:rPr>
      </w:pPr>
    </w:p>
    <w:p>
      <w:pPr>
        <w:tabs>
          <w:tab w:val="left" w:pos="2625"/>
        </w:tabs>
        <w:ind w:firstLine="602"/>
        <w:rPr>
          <w:rStyle w:val="44"/>
          <w:rFonts w:hint="eastAsia" w:ascii="仿宋" w:hAnsi="仿宋" w:eastAsia="仿宋" w:cs="仿宋"/>
          <w:sz w:val="30"/>
          <w:szCs w:val="30"/>
        </w:rPr>
      </w:pPr>
      <w:r>
        <w:rPr>
          <w:rStyle w:val="44"/>
          <w:rFonts w:hint="eastAsia" w:ascii="仿宋" w:hAnsi="仿宋" w:eastAsia="仿宋" w:cs="仿宋"/>
          <w:b/>
          <w:sz w:val="30"/>
          <w:szCs w:val="30"/>
        </w:rPr>
        <w:t>1.</w:t>
      </w:r>
      <w:r>
        <w:rPr>
          <w:rStyle w:val="44"/>
          <w:rFonts w:hint="eastAsia" w:ascii="仿宋" w:hAnsi="仿宋" w:eastAsia="仿宋" w:cs="仿宋"/>
          <w:sz w:val="30"/>
          <w:szCs w:val="30"/>
        </w:rPr>
        <w:t>原研药品证明材料；</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指国家药品监督管理局发布的仿制药参比制剂目录中标注为原研药品，包括地产化原研药、相同剂型不同规格，或已过保护期的国家知识产权局化合物专利的药品，不包括专利技术转让、授权、合作等其他情况的药品。</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下列证明材料任选一项提供：</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（1）提供国家药品监督管理局发布的仿制药参比制剂目录中标注为原研药品的证明材料；</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（2）提供原发明国/地区的化合物专利证书的证明材料；</w:t>
      </w:r>
    </w:p>
    <w:p>
      <w:pPr>
        <w:spacing w:line="570" w:lineRule="exact"/>
        <w:ind w:firstLine="602"/>
        <w:rPr>
          <w:rStyle w:val="44"/>
          <w:rFonts w:hint="eastAsia" w:ascii="仿宋" w:hAnsi="仿宋" w:eastAsia="仿宋" w:cs="仿宋"/>
          <w:sz w:val="30"/>
          <w:szCs w:val="30"/>
        </w:rPr>
      </w:pPr>
      <w:r>
        <w:rPr>
          <w:rStyle w:val="44"/>
          <w:rFonts w:hint="eastAsia" w:ascii="仿宋" w:hAnsi="仿宋" w:eastAsia="仿宋" w:cs="仿宋"/>
          <w:b/>
          <w:sz w:val="30"/>
          <w:szCs w:val="30"/>
        </w:rPr>
        <w:t>2.</w:t>
      </w:r>
      <w:r>
        <w:rPr>
          <w:rFonts w:hint="eastAsia" w:ascii="仿宋" w:hAnsi="仿宋" w:eastAsia="仿宋" w:cs="仿宋"/>
          <w:b/>
          <w:bCs/>
          <w:sz w:val="30"/>
          <w:szCs w:val="30"/>
        </w:rPr>
        <w:t xml:space="preserve"> </w:t>
      </w:r>
      <w:r>
        <w:rPr>
          <w:rStyle w:val="44"/>
          <w:rFonts w:hint="eastAsia" w:ascii="仿宋" w:hAnsi="仿宋" w:eastAsia="仿宋" w:cs="仿宋"/>
          <w:sz w:val="30"/>
          <w:szCs w:val="30"/>
        </w:rPr>
        <w:t>参比制剂；</w:t>
      </w:r>
    </w:p>
    <w:p>
      <w:pPr>
        <w:spacing w:line="570" w:lineRule="exact"/>
        <w:ind w:firstLine="600"/>
        <w:rPr>
          <w:rStyle w:val="44"/>
          <w:rFonts w:hint="eastAsia" w:ascii="仿宋" w:hAnsi="仿宋" w:eastAsia="仿宋" w:cs="仿宋"/>
          <w:sz w:val="30"/>
          <w:szCs w:val="30"/>
        </w:rPr>
      </w:pPr>
      <w:r>
        <w:rPr>
          <w:rStyle w:val="44"/>
          <w:rFonts w:hint="eastAsia" w:ascii="仿宋" w:hAnsi="仿宋" w:eastAsia="仿宋" w:cs="仿宋"/>
          <w:sz w:val="30"/>
          <w:szCs w:val="30"/>
        </w:rPr>
        <w:t>以国家药品监督管理局发布的仿制药参比制剂目录和《中国上市药品目录集》为依据，包括相同剂型不同规格的药品。</w:t>
      </w:r>
    </w:p>
    <w:p>
      <w:pPr>
        <w:spacing w:line="570" w:lineRule="exact"/>
        <w:ind w:firstLine="600"/>
        <w:rPr>
          <w:rStyle w:val="44"/>
          <w:rFonts w:hint="eastAsia" w:ascii="仿宋" w:hAnsi="仿宋" w:eastAsia="仿宋" w:cs="仿宋"/>
          <w:sz w:val="30"/>
          <w:szCs w:val="30"/>
        </w:rPr>
      </w:pPr>
      <w:r>
        <w:rPr>
          <w:rStyle w:val="44"/>
          <w:rFonts w:hint="eastAsia" w:ascii="仿宋" w:hAnsi="仿宋" w:eastAsia="仿宋" w:cs="仿宋"/>
          <w:sz w:val="30"/>
          <w:szCs w:val="30"/>
        </w:rPr>
        <w:t>下列证明材料任选一项提供：</w:t>
      </w:r>
    </w:p>
    <w:p>
      <w:pPr>
        <w:spacing w:line="570" w:lineRule="exact"/>
        <w:ind w:firstLine="600"/>
        <w:rPr>
          <w:rStyle w:val="44"/>
          <w:rFonts w:hint="eastAsia" w:ascii="仿宋" w:hAnsi="仿宋" w:eastAsia="仿宋" w:cs="仿宋"/>
          <w:sz w:val="30"/>
          <w:szCs w:val="30"/>
        </w:rPr>
      </w:pPr>
      <w:r>
        <w:rPr>
          <w:rStyle w:val="44"/>
          <w:rFonts w:hint="eastAsia" w:ascii="仿宋" w:hAnsi="仿宋" w:eastAsia="仿宋" w:cs="仿宋"/>
          <w:sz w:val="30"/>
          <w:szCs w:val="30"/>
        </w:rPr>
        <w:t>（1）提供国家药品监督管理局发布的仿制药参比制剂目录的证明材料；</w:t>
      </w:r>
    </w:p>
    <w:p>
      <w:pPr>
        <w:spacing w:line="570" w:lineRule="exact"/>
        <w:ind w:firstLine="600"/>
        <w:rPr>
          <w:rFonts w:hint="eastAsia" w:ascii="仿宋" w:hAnsi="仿宋" w:eastAsia="仿宋" w:cs="仿宋"/>
          <w:sz w:val="30"/>
          <w:szCs w:val="30"/>
        </w:rPr>
      </w:pPr>
      <w:r>
        <w:rPr>
          <w:rStyle w:val="44"/>
          <w:rFonts w:hint="eastAsia" w:ascii="仿宋" w:hAnsi="仿宋" w:eastAsia="仿宋" w:cs="仿宋"/>
          <w:sz w:val="30"/>
          <w:szCs w:val="30"/>
        </w:rPr>
        <w:t>（2）提供《中国上市药品目录集》的证明材料。</w:t>
      </w:r>
    </w:p>
    <w:p>
      <w:pPr>
        <w:tabs>
          <w:tab w:val="left" w:pos="2625"/>
        </w:tabs>
        <w:ind w:firstLine="602"/>
        <w:rPr>
          <w:rStyle w:val="44"/>
          <w:rFonts w:hint="eastAsia" w:ascii="仿宋" w:hAnsi="仿宋" w:eastAsia="仿宋" w:cs="仿宋"/>
          <w:sz w:val="30"/>
          <w:szCs w:val="30"/>
        </w:rPr>
      </w:pPr>
      <w:r>
        <w:rPr>
          <w:rStyle w:val="44"/>
          <w:rFonts w:hint="eastAsia" w:ascii="仿宋" w:hAnsi="仿宋" w:eastAsia="仿宋" w:cs="仿宋"/>
          <w:b/>
          <w:sz w:val="30"/>
          <w:szCs w:val="30"/>
        </w:rPr>
        <w:t>3.</w:t>
      </w:r>
      <w:r>
        <w:rPr>
          <w:rStyle w:val="44"/>
          <w:rFonts w:hint="eastAsia" w:ascii="仿宋" w:hAnsi="仿宋" w:eastAsia="仿宋" w:cs="仿宋"/>
          <w:sz w:val="30"/>
          <w:szCs w:val="30"/>
        </w:rPr>
        <w:t>中国上市药品目录集；</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以国家药监局药品审评中心官方网站中国上市药品目录集数据库为依据。</w:t>
      </w:r>
    </w:p>
    <w:p>
      <w:pPr>
        <w:tabs>
          <w:tab w:val="left" w:pos="2625"/>
        </w:tabs>
        <w:ind w:firstLine="600"/>
        <w:rPr>
          <w:rStyle w:val="44"/>
          <w:rFonts w:hint="eastAsia" w:ascii="仿宋" w:hAnsi="仿宋" w:eastAsia="仿宋" w:cs="仿宋"/>
          <w:b/>
          <w:sz w:val="30"/>
          <w:szCs w:val="30"/>
        </w:rPr>
      </w:pPr>
      <w:r>
        <w:rPr>
          <w:rStyle w:val="44"/>
          <w:rFonts w:hint="eastAsia" w:ascii="仿宋" w:hAnsi="仿宋" w:eastAsia="仿宋" w:cs="仿宋"/>
          <w:sz w:val="30"/>
          <w:szCs w:val="30"/>
        </w:rPr>
        <w:t>提供《中国上市药品目录集》的证明材料。</w:t>
      </w:r>
    </w:p>
    <w:p>
      <w:pPr>
        <w:tabs>
          <w:tab w:val="left" w:pos="2625"/>
        </w:tabs>
        <w:ind w:firstLine="602"/>
        <w:rPr>
          <w:rStyle w:val="44"/>
          <w:rFonts w:hint="eastAsia" w:ascii="仿宋" w:hAnsi="仿宋" w:eastAsia="仿宋" w:cs="仿宋"/>
          <w:sz w:val="30"/>
          <w:szCs w:val="30"/>
        </w:rPr>
      </w:pPr>
      <w:r>
        <w:rPr>
          <w:rStyle w:val="44"/>
          <w:rFonts w:hint="eastAsia" w:ascii="仿宋" w:hAnsi="仿宋" w:eastAsia="仿宋" w:cs="仿宋"/>
          <w:b/>
          <w:sz w:val="30"/>
          <w:szCs w:val="30"/>
        </w:rPr>
        <w:t>4.</w:t>
      </w:r>
      <w:r>
        <w:rPr>
          <w:rStyle w:val="44"/>
          <w:rFonts w:hint="eastAsia" w:ascii="仿宋" w:hAnsi="仿宋" w:eastAsia="仿宋" w:cs="仿宋"/>
          <w:sz w:val="30"/>
          <w:szCs w:val="30"/>
        </w:rPr>
        <w:t>原材料来自本厂或本集团内其他厂家生产证明材料。本集团内其他厂家生产原料的还需同时提供材料2。</w:t>
      </w:r>
    </w:p>
    <w:p>
      <w:pPr>
        <w:tabs>
          <w:tab w:val="left" w:pos="2625"/>
        </w:tabs>
        <w:ind w:firstLine="600"/>
        <w:rPr>
          <w:rStyle w:val="44"/>
          <w:rFonts w:hint="eastAsia" w:ascii="仿宋" w:hAnsi="仿宋" w:eastAsia="仿宋" w:cs="仿宋"/>
          <w:sz w:val="30"/>
          <w:szCs w:val="30"/>
        </w:rPr>
      </w:pPr>
      <w:r>
        <w:rPr>
          <w:rStyle w:val="44"/>
          <w:rFonts w:hint="eastAsia" w:ascii="仿宋" w:hAnsi="仿宋" w:eastAsia="仿宋" w:cs="仿宋"/>
          <w:sz w:val="30"/>
          <w:szCs w:val="30"/>
        </w:rPr>
        <w:t>（1）提供原材料药注册批件。</w:t>
      </w:r>
    </w:p>
    <w:p>
      <w:pPr>
        <w:ind w:firstLine="600"/>
        <w:rPr>
          <w:rStyle w:val="44"/>
          <w:rFonts w:hint="eastAsia" w:ascii="仿宋" w:hAnsi="仿宋" w:eastAsia="仿宋" w:cs="仿宋"/>
          <w:sz w:val="30"/>
          <w:szCs w:val="30"/>
        </w:rPr>
      </w:pPr>
      <w:r>
        <w:rPr>
          <w:rStyle w:val="44"/>
          <w:rFonts w:hint="eastAsia" w:ascii="仿宋" w:hAnsi="仿宋" w:eastAsia="仿宋" w:cs="仿宋"/>
          <w:sz w:val="30"/>
          <w:szCs w:val="30"/>
        </w:rPr>
        <w:t>（2）提供工业和信息化部编制的《中国医药统计年报</w:t>
      </w:r>
      <w:r>
        <w:rPr>
          <w:rStyle w:val="44"/>
          <w:rFonts w:hint="eastAsia" w:ascii="仿宋" w:hAnsi="仿宋" w:eastAsia="仿宋" w:cs="仿宋"/>
          <w:sz w:val="30"/>
          <w:szCs w:val="30"/>
          <w:lang w:eastAsia="zh-CN"/>
        </w:rPr>
        <w:t>（</w:t>
      </w:r>
      <w:r>
        <w:rPr>
          <w:rStyle w:val="44"/>
          <w:rFonts w:hint="eastAsia" w:ascii="仿宋" w:hAnsi="仿宋" w:eastAsia="仿宋" w:cs="仿宋"/>
          <w:sz w:val="30"/>
          <w:szCs w:val="30"/>
        </w:rPr>
        <w:t>综合册</w:t>
      </w:r>
      <w:r>
        <w:rPr>
          <w:rStyle w:val="44"/>
          <w:rFonts w:hint="eastAsia" w:ascii="仿宋" w:hAnsi="仿宋" w:eastAsia="仿宋" w:cs="仿宋"/>
          <w:sz w:val="30"/>
          <w:szCs w:val="30"/>
          <w:lang w:eastAsia="zh-CN"/>
        </w:rPr>
        <w:t>）</w:t>
      </w:r>
      <w:r>
        <w:rPr>
          <w:rStyle w:val="44"/>
          <w:rFonts w:hint="eastAsia" w:ascii="仿宋" w:hAnsi="仿宋" w:eastAsia="仿宋" w:cs="仿宋"/>
          <w:sz w:val="30"/>
          <w:szCs w:val="30"/>
          <w:lang w:val="en-US" w:eastAsia="zh-CN"/>
        </w:rPr>
        <w:t>最新版</w:t>
      </w:r>
      <w:r>
        <w:rPr>
          <w:rStyle w:val="44"/>
          <w:rFonts w:hint="eastAsia" w:ascii="仿宋" w:hAnsi="仿宋" w:eastAsia="仿宋" w:cs="仿宋"/>
          <w:sz w:val="30"/>
          <w:szCs w:val="30"/>
        </w:rPr>
        <w:t>》，工业企业法人单位隶属关系，外商独资或合资企业提供隶属关系声明。</w:t>
      </w:r>
    </w:p>
    <w:p>
      <w:pPr>
        <w:ind w:firstLine="600"/>
        <w:rPr>
          <w:rFonts w:ascii="仿宋" w:hAnsi="仿宋"/>
          <w:kern w:val="32"/>
          <w:szCs w:val="30"/>
        </w:rPr>
      </w:pPr>
    </w:p>
    <w:p>
      <w:pPr>
        <w:pStyle w:val="27"/>
        <w:rPr>
          <w:rFonts w:eastAsia="仿宋_GB2312"/>
          <w:sz w:val="24"/>
        </w:rPr>
      </w:pPr>
    </w:p>
    <w:sectPr>
      <w:headerReference r:id="rId12" w:type="default"/>
      <w:footerReference r:id="rId13" w:type="default"/>
      <w:pgSz w:w="11906" w:h="16838"/>
      <w:pgMar w:top="1871" w:right="1531" w:bottom="1871" w:left="1531" w:header="850" w:footer="992" w:gutter="0"/>
      <w:pgNumType w:start="22"/>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59"/>
      </w:tabs>
      <w:spacing w:line="177" w:lineRule="auto"/>
      <w:ind w:left="319"/>
      <w:rPr>
        <w:rFonts w:ascii="宋体" w:hAnsi="宋体" w:eastAsia="宋体" w:cs="宋体"/>
        <w:sz w:val="31"/>
        <w:szCs w:val="31"/>
      </w:rPr>
    </w:pPr>
    <w:r>
      <w:rPr>
        <w:sz w:val="31"/>
      </w:rPr>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pict>
        <v:shape id="文本框 8" o:spid="_x0000_s1025"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pPr>
                  <w:pStyle w:val="12"/>
                  <w:ind w:firstLine="36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r>
      <w:rPr>
        <w:rFonts w:hint="eastAsia"/>
      </w:rPr>
      <w:t>十四省（区、兵团）药品集中带量采购文件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left"/>
    </w:pPr>
    <w:r>
      <w:rPr>
        <w:rFonts w:hint="eastAsia"/>
      </w:rPr>
      <w:t>十四省（区、兵团）药品集中带量采购文件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2"/>
  <w:displayVerticalDrawingGridEvery w:val="2"/>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4OWE0MzUwYjJlMWFlNDMyM2M0YTNlNTQyZGE2MTYifQ=="/>
  </w:docVars>
  <w:rsids>
    <w:rsidRoot w:val="00172A27"/>
    <w:rsid w:val="00000441"/>
    <w:rsid w:val="00005293"/>
    <w:rsid w:val="000053A8"/>
    <w:rsid w:val="00005E14"/>
    <w:rsid w:val="00006B9C"/>
    <w:rsid w:val="00007167"/>
    <w:rsid w:val="000076C0"/>
    <w:rsid w:val="000100FE"/>
    <w:rsid w:val="000105BF"/>
    <w:rsid w:val="000106AC"/>
    <w:rsid w:val="0001117E"/>
    <w:rsid w:val="00011603"/>
    <w:rsid w:val="00012684"/>
    <w:rsid w:val="00012794"/>
    <w:rsid w:val="0001280C"/>
    <w:rsid w:val="00012F5E"/>
    <w:rsid w:val="00014352"/>
    <w:rsid w:val="000152DB"/>
    <w:rsid w:val="000164C8"/>
    <w:rsid w:val="000169C0"/>
    <w:rsid w:val="00017547"/>
    <w:rsid w:val="00020322"/>
    <w:rsid w:val="00020966"/>
    <w:rsid w:val="000209A4"/>
    <w:rsid w:val="00023927"/>
    <w:rsid w:val="00024732"/>
    <w:rsid w:val="000332FB"/>
    <w:rsid w:val="00033385"/>
    <w:rsid w:val="0003385E"/>
    <w:rsid w:val="00035334"/>
    <w:rsid w:val="000360B0"/>
    <w:rsid w:val="0003727E"/>
    <w:rsid w:val="00040385"/>
    <w:rsid w:val="000422DF"/>
    <w:rsid w:val="00042311"/>
    <w:rsid w:val="00042CC4"/>
    <w:rsid w:val="0004457D"/>
    <w:rsid w:val="00046372"/>
    <w:rsid w:val="0004652C"/>
    <w:rsid w:val="000501F2"/>
    <w:rsid w:val="0005081D"/>
    <w:rsid w:val="000513A0"/>
    <w:rsid w:val="00051F04"/>
    <w:rsid w:val="000525B3"/>
    <w:rsid w:val="00052CAC"/>
    <w:rsid w:val="0005370E"/>
    <w:rsid w:val="00053845"/>
    <w:rsid w:val="00053B38"/>
    <w:rsid w:val="000541DC"/>
    <w:rsid w:val="000547B6"/>
    <w:rsid w:val="00055F76"/>
    <w:rsid w:val="00056058"/>
    <w:rsid w:val="00056812"/>
    <w:rsid w:val="0006199F"/>
    <w:rsid w:val="0006300A"/>
    <w:rsid w:val="000631BF"/>
    <w:rsid w:val="00063500"/>
    <w:rsid w:val="000641C4"/>
    <w:rsid w:val="000656D1"/>
    <w:rsid w:val="00071C93"/>
    <w:rsid w:val="0007231F"/>
    <w:rsid w:val="000759DF"/>
    <w:rsid w:val="000848F6"/>
    <w:rsid w:val="00086A59"/>
    <w:rsid w:val="00087D5F"/>
    <w:rsid w:val="00090285"/>
    <w:rsid w:val="00090CE0"/>
    <w:rsid w:val="0009182F"/>
    <w:rsid w:val="00092030"/>
    <w:rsid w:val="00093480"/>
    <w:rsid w:val="00093823"/>
    <w:rsid w:val="000948DD"/>
    <w:rsid w:val="00094C22"/>
    <w:rsid w:val="000963BC"/>
    <w:rsid w:val="000970F4"/>
    <w:rsid w:val="000A0D2D"/>
    <w:rsid w:val="000A3C01"/>
    <w:rsid w:val="000A3E92"/>
    <w:rsid w:val="000A3F2C"/>
    <w:rsid w:val="000A4C8E"/>
    <w:rsid w:val="000A4DD5"/>
    <w:rsid w:val="000A6A94"/>
    <w:rsid w:val="000B190A"/>
    <w:rsid w:val="000B25CF"/>
    <w:rsid w:val="000B2B0C"/>
    <w:rsid w:val="000B37B9"/>
    <w:rsid w:val="000B37CA"/>
    <w:rsid w:val="000B3B2A"/>
    <w:rsid w:val="000B3E30"/>
    <w:rsid w:val="000B5141"/>
    <w:rsid w:val="000B518A"/>
    <w:rsid w:val="000B5CB2"/>
    <w:rsid w:val="000B6CD6"/>
    <w:rsid w:val="000B7CCE"/>
    <w:rsid w:val="000C0453"/>
    <w:rsid w:val="000C21C7"/>
    <w:rsid w:val="000C2445"/>
    <w:rsid w:val="000C25FF"/>
    <w:rsid w:val="000C5012"/>
    <w:rsid w:val="000C52C1"/>
    <w:rsid w:val="000C7CE9"/>
    <w:rsid w:val="000D0A2F"/>
    <w:rsid w:val="000D1873"/>
    <w:rsid w:val="000D1A4A"/>
    <w:rsid w:val="000D4FF0"/>
    <w:rsid w:val="000E00E9"/>
    <w:rsid w:val="000E5C5C"/>
    <w:rsid w:val="000E5E59"/>
    <w:rsid w:val="000E5F16"/>
    <w:rsid w:val="000E67E7"/>
    <w:rsid w:val="000E6AA9"/>
    <w:rsid w:val="000E7B12"/>
    <w:rsid w:val="000F0094"/>
    <w:rsid w:val="000F113A"/>
    <w:rsid w:val="000F1CB7"/>
    <w:rsid w:val="000F1FE5"/>
    <w:rsid w:val="000F3133"/>
    <w:rsid w:val="000F5093"/>
    <w:rsid w:val="000F50E3"/>
    <w:rsid w:val="000F660C"/>
    <w:rsid w:val="000F7092"/>
    <w:rsid w:val="00100059"/>
    <w:rsid w:val="00100A1F"/>
    <w:rsid w:val="00102489"/>
    <w:rsid w:val="00102959"/>
    <w:rsid w:val="001031A7"/>
    <w:rsid w:val="0010340A"/>
    <w:rsid w:val="0010391E"/>
    <w:rsid w:val="0010437B"/>
    <w:rsid w:val="0011030F"/>
    <w:rsid w:val="001119C9"/>
    <w:rsid w:val="00111B5E"/>
    <w:rsid w:val="00112910"/>
    <w:rsid w:val="001132F0"/>
    <w:rsid w:val="00114063"/>
    <w:rsid w:val="00116BCD"/>
    <w:rsid w:val="001217D5"/>
    <w:rsid w:val="00122AD0"/>
    <w:rsid w:val="00123390"/>
    <w:rsid w:val="0012410A"/>
    <w:rsid w:val="00126AAB"/>
    <w:rsid w:val="00130A51"/>
    <w:rsid w:val="00132D62"/>
    <w:rsid w:val="0013327B"/>
    <w:rsid w:val="00133D5B"/>
    <w:rsid w:val="00133EF3"/>
    <w:rsid w:val="00136273"/>
    <w:rsid w:val="001368BD"/>
    <w:rsid w:val="001430D2"/>
    <w:rsid w:val="001441F4"/>
    <w:rsid w:val="00144AA6"/>
    <w:rsid w:val="00144BCE"/>
    <w:rsid w:val="0014745C"/>
    <w:rsid w:val="001509C1"/>
    <w:rsid w:val="00152FD8"/>
    <w:rsid w:val="0015338F"/>
    <w:rsid w:val="001551EA"/>
    <w:rsid w:val="00155667"/>
    <w:rsid w:val="0015628C"/>
    <w:rsid w:val="0015695D"/>
    <w:rsid w:val="00157823"/>
    <w:rsid w:val="00157CE8"/>
    <w:rsid w:val="001615A9"/>
    <w:rsid w:val="00162B53"/>
    <w:rsid w:val="00170262"/>
    <w:rsid w:val="001706F2"/>
    <w:rsid w:val="00172A27"/>
    <w:rsid w:val="00172EF7"/>
    <w:rsid w:val="001750E0"/>
    <w:rsid w:val="00176B0D"/>
    <w:rsid w:val="001771CC"/>
    <w:rsid w:val="00177D59"/>
    <w:rsid w:val="001803FD"/>
    <w:rsid w:val="001808E7"/>
    <w:rsid w:val="001813FF"/>
    <w:rsid w:val="0018231E"/>
    <w:rsid w:val="001825A4"/>
    <w:rsid w:val="00182AE0"/>
    <w:rsid w:val="001837BC"/>
    <w:rsid w:val="00184DF6"/>
    <w:rsid w:val="00185A4C"/>
    <w:rsid w:val="00187DCF"/>
    <w:rsid w:val="00190017"/>
    <w:rsid w:val="001911FC"/>
    <w:rsid w:val="001914F0"/>
    <w:rsid w:val="00191AF9"/>
    <w:rsid w:val="00194B80"/>
    <w:rsid w:val="00194C74"/>
    <w:rsid w:val="0019525F"/>
    <w:rsid w:val="001952BC"/>
    <w:rsid w:val="001A1867"/>
    <w:rsid w:val="001A2D3C"/>
    <w:rsid w:val="001A30D1"/>
    <w:rsid w:val="001A53FF"/>
    <w:rsid w:val="001A5940"/>
    <w:rsid w:val="001A6388"/>
    <w:rsid w:val="001A6FB8"/>
    <w:rsid w:val="001B13A4"/>
    <w:rsid w:val="001B2FCE"/>
    <w:rsid w:val="001B326C"/>
    <w:rsid w:val="001B4669"/>
    <w:rsid w:val="001B51B2"/>
    <w:rsid w:val="001B5A4A"/>
    <w:rsid w:val="001B7545"/>
    <w:rsid w:val="001B7F14"/>
    <w:rsid w:val="001C0515"/>
    <w:rsid w:val="001C2075"/>
    <w:rsid w:val="001C2258"/>
    <w:rsid w:val="001C307F"/>
    <w:rsid w:val="001C413F"/>
    <w:rsid w:val="001C52FD"/>
    <w:rsid w:val="001C554C"/>
    <w:rsid w:val="001C63F6"/>
    <w:rsid w:val="001C6FA3"/>
    <w:rsid w:val="001C7E72"/>
    <w:rsid w:val="001C7F08"/>
    <w:rsid w:val="001D1DB5"/>
    <w:rsid w:val="001D2AD9"/>
    <w:rsid w:val="001D4278"/>
    <w:rsid w:val="001D47CD"/>
    <w:rsid w:val="001D5244"/>
    <w:rsid w:val="001D55CD"/>
    <w:rsid w:val="001D576F"/>
    <w:rsid w:val="001D5AA8"/>
    <w:rsid w:val="001D6023"/>
    <w:rsid w:val="001D63AB"/>
    <w:rsid w:val="001D64F9"/>
    <w:rsid w:val="001D7F25"/>
    <w:rsid w:val="001E114A"/>
    <w:rsid w:val="001E1AEE"/>
    <w:rsid w:val="001E266F"/>
    <w:rsid w:val="001E2A6D"/>
    <w:rsid w:val="001E64B1"/>
    <w:rsid w:val="001E715E"/>
    <w:rsid w:val="001F07A0"/>
    <w:rsid w:val="001F153A"/>
    <w:rsid w:val="001F1F05"/>
    <w:rsid w:val="001F250D"/>
    <w:rsid w:val="001F2AD0"/>
    <w:rsid w:val="001F626A"/>
    <w:rsid w:val="001F6657"/>
    <w:rsid w:val="00200348"/>
    <w:rsid w:val="00200626"/>
    <w:rsid w:val="00200846"/>
    <w:rsid w:val="0020100C"/>
    <w:rsid w:val="00201CA4"/>
    <w:rsid w:val="00201F5F"/>
    <w:rsid w:val="002021CA"/>
    <w:rsid w:val="00203687"/>
    <w:rsid w:val="0020399F"/>
    <w:rsid w:val="00204B75"/>
    <w:rsid w:val="00204C3C"/>
    <w:rsid w:val="00204E45"/>
    <w:rsid w:val="0020585A"/>
    <w:rsid w:val="002075E0"/>
    <w:rsid w:val="00211CF8"/>
    <w:rsid w:val="00211DA9"/>
    <w:rsid w:val="002122D9"/>
    <w:rsid w:val="00212B49"/>
    <w:rsid w:val="002133C7"/>
    <w:rsid w:val="00215162"/>
    <w:rsid w:val="00216B95"/>
    <w:rsid w:val="002172B9"/>
    <w:rsid w:val="0022149B"/>
    <w:rsid w:val="0022362C"/>
    <w:rsid w:val="002247CE"/>
    <w:rsid w:val="00227FD9"/>
    <w:rsid w:val="00231B88"/>
    <w:rsid w:val="00231CCB"/>
    <w:rsid w:val="00232DFD"/>
    <w:rsid w:val="00233C23"/>
    <w:rsid w:val="00233DDB"/>
    <w:rsid w:val="002405DD"/>
    <w:rsid w:val="00241318"/>
    <w:rsid w:val="0024293A"/>
    <w:rsid w:val="00243EC4"/>
    <w:rsid w:val="00245E1E"/>
    <w:rsid w:val="0024621F"/>
    <w:rsid w:val="002465D5"/>
    <w:rsid w:val="002468E4"/>
    <w:rsid w:val="002476B2"/>
    <w:rsid w:val="00247D10"/>
    <w:rsid w:val="00251153"/>
    <w:rsid w:val="00252B03"/>
    <w:rsid w:val="00252F0C"/>
    <w:rsid w:val="0025313B"/>
    <w:rsid w:val="0025338E"/>
    <w:rsid w:val="002534FC"/>
    <w:rsid w:val="00254C1B"/>
    <w:rsid w:val="002554E4"/>
    <w:rsid w:val="00255568"/>
    <w:rsid w:val="00255A1D"/>
    <w:rsid w:val="00256FE2"/>
    <w:rsid w:val="00257995"/>
    <w:rsid w:val="00260B19"/>
    <w:rsid w:val="00261380"/>
    <w:rsid w:val="002616FA"/>
    <w:rsid w:val="00262895"/>
    <w:rsid w:val="0026378A"/>
    <w:rsid w:val="0026405B"/>
    <w:rsid w:val="00267834"/>
    <w:rsid w:val="0027018E"/>
    <w:rsid w:val="002705E8"/>
    <w:rsid w:val="00271F6C"/>
    <w:rsid w:val="002739C7"/>
    <w:rsid w:val="00273E16"/>
    <w:rsid w:val="00274CAC"/>
    <w:rsid w:val="00274CE6"/>
    <w:rsid w:val="00276C48"/>
    <w:rsid w:val="002772F3"/>
    <w:rsid w:val="00280129"/>
    <w:rsid w:val="00280C8B"/>
    <w:rsid w:val="002826CB"/>
    <w:rsid w:val="00282EF6"/>
    <w:rsid w:val="00282F11"/>
    <w:rsid w:val="00283924"/>
    <w:rsid w:val="00283E45"/>
    <w:rsid w:val="00283FB0"/>
    <w:rsid w:val="00284685"/>
    <w:rsid w:val="00284C57"/>
    <w:rsid w:val="00284E00"/>
    <w:rsid w:val="00285259"/>
    <w:rsid w:val="00285617"/>
    <w:rsid w:val="00285B83"/>
    <w:rsid w:val="00285B92"/>
    <w:rsid w:val="00286446"/>
    <w:rsid w:val="00290EC8"/>
    <w:rsid w:val="002911DC"/>
    <w:rsid w:val="00291C52"/>
    <w:rsid w:val="0029227E"/>
    <w:rsid w:val="0029267D"/>
    <w:rsid w:val="0029576E"/>
    <w:rsid w:val="00295E49"/>
    <w:rsid w:val="00296171"/>
    <w:rsid w:val="00296331"/>
    <w:rsid w:val="00296955"/>
    <w:rsid w:val="002A047D"/>
    <w:rsid w:val="002A10F1"/>
    <w:rsid w:val="002A285B"/>
    <w:rsid w:val="002A2994"/>
    <w:rsid w:val="002A2CD9"/>
    <w:rsid w:val="002A533A"/>
    <w:rsid w:val="002A5C02"/>
    <w:rsid w:val="002A5C22"/>
    <w:rsid w:val="002A5EB5"/>
    <w:rsid w:val="002A67F5"/>
    <w:rsid w:val="002A6BC8"/>
    <w:rsid w:val="002A753B"/>
    <w:rsid w:val="002A79C0"/>
    <w:rsid w:val="002A7FD6"/>
    <w:rsid w:val="002B0E0A"/>
    <w:rsid w:val="002B1012"/>
    <w:rsid w:val="002B1E53"/>
    <w:rsid w:val="002B24DF"/>
    <w:rsid w:val="002B3FB8"/>
    <w:rsid w:val="002B41E2"/>
    <w:rsid w:val="002B51CC"/>
    <w:rsid w:val="002B5FDD"/>
    <w:rsid w:val="002B68F3"/>
    <w:rsid w:val="002B6BCF"/>
    <w:rsid w:val="002B7A60"/>
    <w:rsid w:val="002B7A73"/>
    <w:rsid w:val="002C0BEA"/>
    <w:rsid w:val="002C4E24"/>
    <w:rsid w:val="002C50A1"/>
    <w:rsid w:val="002C6E58"/>
    <w:rsid w:val="002D1418"/>
    <w:rsid w:val="002D2C11"/>
    <w:rsid w:val="002D34D9"/>
    <w:rsid w:val="002D3968"/>
    <w:rsid w:val="002D59AE"/>
    <w:rsid w:val="002D7E2E"/>
    <w:rsid w:val="002E1483"/>
    <w:rsid w:val="002E2AE2"/>
    <w:rsid w:val="002E59EE"/>
    <w:rsid w:val="002E7451"/>
    <w:rsid w:val="002E7D43"/>
    <w:rsid w:val="002F1701"/>
    <w:rsid w:val="002F1765"/>
    <w:rsid w:val="002F32A2"/>
    <w:rsid w:val="002F38E8"/>
    <w:rsid w:val="002F5415"/>
    <w:rsid w:val="002F5A54"/>
    <w:rsid w:val="0030249B"/>
    <w:rsid w:val="0030671C"/>
    <w:rsid w:val="00310E24"/>
    <w:rsid w:val="00311292"/>
    <w:rsid w:val="003113BB"/>
    <w:rsid w:val="0031417E"/>
    <w:rsid w:val="0031449D"/>
    <w:rsid w:val="00314568"/>
    <w:rsid w:val="0031715B"/>
    <w:rsid w:val="00321052"/>
    <w:rsid w:val="00322E8F"/>
    <w:rsid w:val="00323990"/>
    <w:rsid w:val="00324FEE"/>
    <w:rsid w:val="0032520F"/>
    <w:rsid w:val="00330EA9"/>
    <w:rsid w:val="00331274"/>
    <w:rsid w:val="003317CD"/>
    <w:rsid w:val="003328CB"/>
    <w:rsid w:val="00332F19"/>
    <w:rsid w:val="003349A9"/>
    <w:rsid w:val="003360AE"/>
    <w:rsid w:val="00337225"/>
    <w:rsid w:val="00340530"/>
    <w:rsid w:val="00340900"/>
    <w:rsid w:val="00341892"/>
    <w:rsid w:val="00341935"/>
    <w:rsid w:val="003440B2"/>
    <w:rsid w:val="0034437C"/>
    <w:rsid w:val="003454C1"/>
    <w:rsid w:val="00345AB4"/>
    <w:rsid w:val="00345E6A"/>
    <w:rsid w:val="00347886"/>
    <w:rsid w:val="00350308"/>
    <w:rsid w:val="0035077C"/>
    <w:rsid w:val="00351D0D"/>
    <w:rsid w:val="00352B31"/>
    <w:rsid w:val="00354269"/>
    <w:rsid w:val="00356E9B"/>
    <w:rsid w:val="0035760B"/>
    <w:rsid w:val="0036168F"/>
    <w:rsid w:val="00362B13"/>
    <w:rsid w:val="00364246"/>
    <w:rsid w:val="00364744"/>
    <w:rsid w:val="003655D7"/>
    <w:rsid w:val="00365D71"/>
    <w:rsid w:val="00366624"/>
    <w:rsid w:val="00366B3C"/>
    <w:rsid w:val="00373A43"/>
    <w:rsid w:val="00374A6A"/>
    <w:rsid w:val="0037582E"/>
    <w:rsid w:val="00375B67"/>
    <w:rsid w:val="00375F1C"/>
    <w:rsid w:val="00380CEB"/>
    <w:rsid w:val="0038129A"/>
    <w:rsid w:val="00381361"/>
    <w:rsid w:val="003817BD"/>
    <w:rsid w:val="00382582"/>
    <w:rsid w:val="00382DFC"/>
    <w:rsid w:val="00384189"/>
    <w:rsid w:val="003851EA"/>
    <w:rsid w:val="003862BE"/>
    <w:rsid w:val="00386C37"/>
    <w:rsid w:val="003904EB"/>
    <w:rsid w:val="00391BA6"/>
    <w:rsid w:val="00391D27"/>
    <w:rsid w:val="0039303E"/>
    <w:rsid w:val="00393421"/>
    <w:rsid w:val="00393497"/>
    <w:rsid w:val="0039574F"/>
    <w:rsid w:val="00395F50"/>
    <w:rsid w:val="0039618F"/>
    <w:rsid w:val="003A0EC4"/>
    <w:rsid w:val="003A238D"/>
    <w:rsid w:val="003A2D87"/>
    <w:rsid w:val="003A31E7"/>
    <w:rsid w:val="003A32B6"/>
    <w:rsid w:val="003A5747"/>
    <w:rsid w:val="003A5FCE"/>
    <w:rsid w:val="003A6EB7"/>
    <w:rsid w:val="003A722B"/>
    <w:rsid w:val="003B122E"/>
    <w:rsid w:val="003B2267"/>
    <w:rsid w:val="003B3FAD"/>
    <w:rsid w:val="003B3FDD"/>
    <w:rsid w:val="003B6F38"/>
    <w:rsid w:val="003C0B4B"/>
    <w:rsid w:val="003C2568"/>
    <w:rsid w:val="003C2EB4"/>
    <w:rsid w:val="003C3582"/>
    <w:rsid w:val="003C3D07"/>
    <w:rsid w:val="003C4574"/>
    <w:rsid w:val="003C697A"/>
    <w:rsid w:val="003C6B50"/>
    <w:rsid w:val="003C793E"/>
    <w:rsid w:val="003C7A30"/>
    <w:rsid w:val="003D029B"/>
    <w:rsid w:val="003D1467"/>
    <w:rsid w:val="003D18C5"/>
    <w:rsid w:val="003D2010"/>
    <w:rsid w:val="003D2968"/>
    <w:rsid w:val="003D4AAA"/>
    <w:rsid w:val="003D59F4"/>
    <w:rsid w:val="003D5AC1"/>
    <w:rsid w:val="003D6128"/>
    <w:rsid w:val="003D6748"/>
    <w:rsid w:val="003D6F64"/>
    <w:rsid w:val="003E0924"/>
    <w:rsid w:val="003E1D74"/>
    <w:rsid w:val="003E2375"/>
    <w:rsid w:val="003E31F1"/>
    <w:rsid w:val="003E3D9D"/>
    <w:rsid w:val="003E4D3C"/>
    <w:rsid w:val="003E557C"/>
    <w:rsid w:val="003E7045"/>
    <w:rsid w:val="003E74D6"/>
    <w:rsid w:val="003F138A"/>
    <w:rsid w:val="003F13F1"/>
    <w:rsid w:val="003F2D19"/>
    <w:rsid w:val="003F304B"/>
    <w:rsid w:val="003F4DC1"/>
    <w:rsid w:val="003F65A4"/>
    <w:rsid w:val="00401915"/>
    <w:rsid w:val="004025D7"/>
    <w:rsid w:val="0040291A"/>
    <w:rsid w:val="00403203"/>
    <w:rsid w:val="00405215"/>
    <w:rsid w:val="00405D4A"/>
    <w:rsid w:val="00405F3C"/>
    <w:rsid w:val="004062B6"/>
    <w:rsid w:val="00406CBF"/>
    <w:rsid w:val="004078FB"/>
    <w:rsid w:val="00407DB0"/>
    <w:rsid w:val="00410725"/>
    <w:rsid w:val="0041209F"/>
    <w:rsid w:val="00412DED"/>
    <w:rsid w:val="0041470C"/>
    <w:rsid w:val="004148F2"/>
    <w:rsid w:val="00415F67"/>
    <w:rsid w:val="00416D8F"/>
    <w:rsid w:val="00417587"/>
    <w:rsid w:val="004206DC"/>
    <w:rsid w:val="00421266"/>
    <w:rsid w:val="00423476"/>
    <w:rsid w:val="00426619"/>
    <w:rsid w:val="00430D6E"/>
    <w:rsid w:val="00431A93"/>
    <w:rsid w:val="004321CD"/>
    <w:rsid w:val="00432306"/>
    <w:rsid w:val="00432B1A"/>
    <w:rsid w:val="004339A6"/>
    <w:rsid w:val="00434D97"/>
    <w:rsid w:val="0043580A"/>
    <w:rsid w:val="004358A0"/>
    <w:rsid w:val="00435B6A"/>
    <w:rsid w:val="0043659A"/>
    <w:rsid w:val="00437342"/>
    <w:rsid w:val="00437A90"/>
    <w:rsid w:val="0044017D"/>
    <w:rsid w:val="00442A5A"/>
    <w:rsid w:val="00444DD9"/>
    <w:rsid w:val="00445F93"/>
    <w:rsid w:val="00446983"/>
    <w:rsid w:val="00447819"/>
    <w:rsid w:val="00451D6D"/>
    <w:rsid w:val="00451FD4"/>
    <w:rsid w:val="004521BD"/>
    <w:rsid w:val="004526BB"/>
    <w:rsid w:val="00454CD7"/>
    <w:rsid w:val="00454DF7"/>
    <w:rsid w:val="004551E7"/>
    <w:rsid w:val="004561A2"/>
    <w:rsid w:val="004570AE"/>
    <w:rsid w:val="00457124"/>
    <w:rsid w:val="00460726"/>
    <w:rsid w:val="00460D00"/>
    <w:rsid w:val="00460FC6"/>
    <w:rsid w:val="00461A91"/>
    <w:rsid w:val="00462DC1"/>
    <w:rsid w:val="00464480"/>
    <w:rsid w:val="0046684D"/>
    <w:rsid w:val="00470101"/>
    <w:rsid w:val="004711CE"/>
    <w:rsid w:val="00471D4B"/>
    <w:rsid w:val="00473895"/>
    <w:rsid w:val="00473D28"/>
    <w:rsid w:val="0047617A"/>
    <w:rsid w:val="004776F3"/>
    <w:rsid w:val="00477B1D"/>
    <w:rsid w:val="004810AF"/>
    <w:rsid w:val="00483DD5"/>
    <w:rsid w:val="00484190"/>
    <w:rsid w:val="00484DA6"/>
    <w:rsid w:val="004863B2"/>
    <w:rsid w:val="00487A24"/>
    <w:rsid w:val="004914E2"/>
    <w:rsid w:val="00491B8A"/>
    <w:rsid w:val="00492430"/>
    <w:rsid w:val="004928F2"/>
    <w:rsid w:val="00492F3C"/>
    <w:rsid w:val="004970F5"/>
    <w:rsid w:val="004A0447"/>
    <w:rsid w:val="004A24D4"/>
    <w:rsid w:val="004A32DB"/>
    <w:rsid w:val="004A3AF7"/>
    <w:rsid w:val="004A5230"/>
    <w:rsid w:val="004A5612"/>
    <w:rsid w:val="004A61CD"/>
    <w:rsid w:val="004A6A1F"/>
    <w:rsid w:val="004B1CDD"/>
    <w:rsid w:val="004B2EFD"/>
    <w:rsid w:val="004B356A"/>
    <w:rsid w:val="004B3B3D"/>
    <w:rsid w:val="004B440B"/>
    <w:rsid w:val="004B4B72"/>
    <w:rsid w:val="004B4F80"/>
    <w:rsid w:val="004B6162"/>
    <w:rsid w:val="004B682D"/>
    <w:rsid w:val="004B6DEE"/>
    <w:rsid w:val="004B7F15"/>
    <w:rsid w:val="004C0426"/>
    <w:rsid w:val="004C0C59"/>
    <w:rsid w:val="004C2367"/>
    <w:rsid w:val="004C2D05"/>
    <w:rsid w:val="004C3519"/>
    <w:rsid w:val="004C35EF"/>
    <w:rsid w:val="004C491E"/>
    <w:rsid w:val="004C49FF"/>
    <w:rsid w:val="004C6520"/>
    <w:rsid w:val="004C75C9"/>
    <w:rsid w:val="004D4D33"/>
    <w:rsid w:val="004D57D1"/>
    <w:rsid w:val="004D5FBD"/>
    <w:rsid w:val="004D742A"/>
    <w:rsid w:val="004D747F"/>
    <w:rsid w:val="004E1082"/>
    <w:rsid w:val="004E12BE"/>
    <w:rsid w:val="004E22C9"/>
    <w:rsid w:val="004E2F0B"/>
    <w:rsid w:val="004E3627"/>
    <w:rsid w:val="004E3638"/>
    <w:rsid w:val="004E54E6"/>
    <w:rsid w:val="004E5CF9"/>
    <w:rsid w:val="004E6323"/>
    <w:rsid w:val="004E65EB"/>
    <w:rsid w:val="004E6947"/>
    <w:rsid w:val="004E6ACE"/>
    <w:rsid w:val="004F2616"/>
    <w:rsid w:val="004F3744"/>
    <w:rsid w:val="004F3ABB"/>
    <w:rsid w:val="004F4078"/>
    <w:rsid w:val="004F4933"/>
    <w:rsid w:val="004F4B3D"/>
    <w:rsid w:val="004F606F"/>
    <w:rsid w:val="004F6B6D"/>
    <w:rsid w:val="004F6ECC"/>
    <w:rsid w:val="005037BF"/>
    <w:rsid w:val="005044EC"/>
    <w:rsid w:val="005046AD"/>
    <w:rsid w:val="00505F76"/>
    <w:rsid w:val="005060AD"/>
    <w:rsid w:val="00510677"/>
    <w:rsid w:val="005112D7"/>
    <w:rsid w:val="005115E2"/>
    <w:rsid w:val="00512790"/>
    <w:rsid w:val="00513512"/>
    <w:rsid w:val="00514ED6"/>
    <w:rsid w:val="00515881"/>
    <w:rsid w:val="005161CA"/>
    <w:rsid w:val="005162C6"/>
    <w:rsid w:val="0051661C"/>
    <w:rsid w:val="00516B5B"/>
    <w:rsid w:val="00517074"/>
    <w:rsid w:val="00521014"/>
    <w:rsid w:val="0052193E"/>
    <w:rsid w:val="0052336B"/>
    <w:rsid w:val="00523711"/>
    <w:rsid w:val="00524809"/>
    <w:rsid w:val="0052769C"/>
    <w:rsid w:val="00530DF1"/>
    <w:rsid w:val="00530F26"/>
    <w:rsid w:val="00531EB1"/>
    <w:rsid w:val="00532627"/>
    <w:rsid w:val="0053376B"/>
    <w:rsid w:val="00533B08"/>
    <w:rsid w:val="00534910"/>
    <w:rsid w:val="00534F9F"/>
    <w:rsid w:val="0053665E"/>
    <w:rsid w:val="00537912"/>
    <w:rsid w:val="005401A9"/>
    <w:rsid w:val="00542936"/>
    <w:rsid w:val="00542B79"/>
    <w:rsid w:val="00542CD9"/>
    <w:rsid w:val="00544953"/>
    <w:rsid w:val="0054541E"/>
    <w:rsid w:val="00546129"/>
    <w:rsid w:val="00546ED6"/>
    <w:rsid w:val="005473A3"/>
    <w:rsid w:val="00547965"/>
    <w:rsid w:val="00547A9B"/>
    <w:rsid w:val="0055004B"/>
    <w:rsid w:val="00551F99"/>
    <w:rsid w:val="0055499F"/>
    <w:rsid w:val="0056024A"/>
    <w:rsid w:val="005603C8"/>
    <w:rsid w:val="00560A78"/>
    <w:rsid w:val="00561090"/>
    <w:rsid w:val="005620F4"/>
    <w:rsid w:val="00562F9C"/>
    <w:rsid w:val="0056325D"/>
    <w:rsid w:val="00565BD6"/>
    <w:rsid w:val="00565D14"/>
    <w:rsid w:val="005665B9"/>
    <w:rsid w:val="005669E3"/>
    <w:rsid w:val="00567534"/>
    <w:rsid w:val="005707BE"/>
    <w:rsid w:val="0057095D"/>
    <w:rsid w:val="00570A00"/>
    <w:rsid w:val="00570E28"/>
    <w:rsid w:val="0057248F"/>
    <w:rsid w:val="005733FC"/>
    <w:rsid w:val="00575823"/>
    <w:rsid w:val="00575BC6"/>
    <w:rsid w:val="00577173"/>
    <w:rsid w:val="005776E3"/>
    <w:rsid w:val="0058165B"/>
    <w:rsid w:val="00582AC6"/>
    <w:rsid w:val="00582E44"/>
    <w:rsid w:val="005843E5"/>
    <w:rsid w:val="00585449"/>
    <w:rsid w:val="00585CB5"/>
    <w:rsid w:val="005872C4"/>
    <w:rsid w:val="005877CD"/>
    <w:rsid w:val="005879E1"/>
    <w:rsid w:val="00590626"/>
    <w:rsid w:val="00591626"/>
    <w:rsid w:val="00591F3E"/>
    <w:rsid w:val="0059259E"/>
    <w:rsid w:val="005946DA"/>
    <w:rsid w:val="00595744"/>
    <w:rsid w:val="00597913"/>
    <w:rsid w:val="00597DDD"/>
    <w:rsid w:val="005A02AB"/>
    <w:rsid w:val="005A1C12"/>
    <w:rsid w:val="005A1C97"/>
    <w:rsid w:val="005A2151"/>
    <w:rsid w:val="005A2DB9"/>
    <w:rsid w:val="005A3DD9"/>
    <w:rsid w:val="005A4D4A"/>
    <w:rsid w:val="005A57A3"/>
    <w:rsid w:val="005A5F9E"/>
    <w:rsid w:val="005A79A9"/>
    <w:rsid w:val="005A7C21"/>
    <w:rsid w:val="005A7DB0"/>
    <w:rsid w:val="005B119D"/>
    <w:rsid w:val="005B1E3E"/>
    <w:rsid w:val="005B25B0"/>
    <w:rsid w:val="005B3358"/>
    <w:rsid w:val="005B3D58"/>
    <w:rsid w:val="005B4D89"/>
    <w:rsid w:val="005B5DE7"/>
    <w:rsid w:val="005B7A55"/>
    <w:rsid w:val="005C1124"/>
    <w:rsid w:val="005C1586"/>
    <w:rsid w:val="005C1C90"/>
    <w:rsid w:val="005C4639"/>
    <w:rsid w:val="005C4866"/>
    <w:rsid w:val="005C57CE"/>
    <w:rsid w:val="005C5E27"/>
    <w:rsid w:val="005C647B"/>
    <w:rsid w:val="005C771E"/>
    <w:rsid w:val="005D108C"/>
    <w:rsid w:val="005D141E"/>
    <w:rsid w:val="005D1AC1"/>
    <w:rsid w:val="005D1DEF"/>
    <w:rsid w:val="005D3AF4"/>
    <w:rsid w:val="005D5407"/>
    <w:rsid w:val="005D5655"/>
    <w:rsid w:val="005D599B"/>
    <w:rsid w:val="005D71BE"/>
    <w:rsid w:val="005D745E"/>
    <w:rsid w:val="005D7D3A"/>
    <w:rsid w:val="005E1FF4"/>
    <w:rsid w:val="005E4406"/>
    <w:rsid w:val="005E51B6"/>
    <w:rsid w:val="005E7662"/>
    <w:rsid w:val="005F00E1"/>
    <w:rsid w:val="005F1318"/>
    <w:rsid w:val="005F1807"/>
    <w:rsid w:val="005F1B43"/>
    <w:rsid w:val="005F237D"/>
    <w:rsid w:val="005F2982"/>
    <w:rsid w:val="005F2C76"/>
    <w:rsid w:val="005F3A0A"/>
    <w:rsid w:val="005F3BFB"/>
    <w:rsid w:val="005F6315"/>
    <w:rsid w:val="005F6519"/>
    <w:rsid w:val="005F6580"/>
    <w:rsid w:val="005F70B8"/>
    <w:rsid w:val="00600051"/>
    <w:rsid w:val="00600752"/>
    <w:rsid w:val="00601481"/>
    <w:rsid w:val="00601AAC"/>
    <w:rsid w:val="00601E84"/>
    <w:rsid w:val="006030F3"/>
    <w:rsid w:val="006036E4"/>
    <w:rsid w:val="0060556C"/>
    <w:rsid w:val="00605E8C"/>
    <w:rsid w:val="00606C9C"/>
    <w:rsid w:val="006073B3"/>
    <w:rsid w:val="00610E74"/>
    <w:rsid w:val="0061204B"/>
    <w:rsid w:val="00613754"/>
    <w:rsid w:val="00613B19"/>
    <w:rsid w:val="006143A6"/>
    <w:rsid w:val="006148D0"/>
    <w:rsid w:val="006156D2"/>
    <w:rsid w:val="006166BA"/>
    <w:rsid w:val="00616E1E"/>
    <w:rsid w:val="00617677"/>
    <w:rsid w:val="00617753"/>
    <w:rsid w:val="0061794B"/>
    <w:rsid w:val="00620439"/>
    <w:rsid w:val="0062190B"/>
    <w:rsid w:val="0062569B"/>
    <w:rsid w:val="0062593E"/>
    <w:rsid w:val="00625CE2"/>
    <w:rsid w:val="006265CA"/>
    <w:rsid w:val="006311E4"/>
    <w:rsid w:val="00631985"/>
    <w:rsid w:val="006345BA"/>
    <w:rsid w:val="0063579D"/>
    <w:rsid w:val="00635EB2"/>
    <w:rsid w:val="00635F48"/>
    <w:rsid w:val="006376B8"/>
    <w:rsid w:val="006422BC"/>
    <w:rsid w:val="006430E9"/>
    <w:rsid w:val="006452ED"/>
    <w:rsid w:val="00646A83"/>
    <w:rsid w:val="00647D79"/>
    <w:rsid w:val="00650C75"/>
    <w:rsid w:val="00650DEE"/>
    <w:rsid w:val="00654231"/>
    <w:rsid w:val="0065469A"/>
    <w:rsid w:val="00654E87"/>
    <w:rsid w:val="006551DC"/>
    <w:rsid w:val="0065615C"/>
    <w:rsid w:val="00656A47"/>
    <w:rsid w:val="00661E6A"/>
    <w:rsid w:val="006636ED"/>
    <w:rsid w:val="00665D21"/>
    <w:rsid w:val="00665EC7"/>
    <w:rsid w:val="00666708"/>
    <w:rsid w:val="0066747F"/>
    <w:rsid w:val="00667D13"/>
    <w:rsid w:val="00670BC1"/>
    <w:rsid w:val="00670C3A"/>
    <w:rsid w:val="00671E6F"/>
    <w:rsid w:val="006728D7"/>
    <w:rsid w:val="00673E8E"/>
    <w:rsid w:val="00675964"/>
    <w:rsid w:val="00675B75"/>
    <w:rsid w:val="00675E63"/>
    <w:rsid w:val="00677695"/>
    <w:rsid w:val="00681C55"/>
    <w:rsid w:val="006835DB"/>
    <w:rsid w:val="00683986"/>
    <w:rsid w:val="00685B5C"/>
    <w:rsid w:val="00687A28"/>
    <w:rsid w:val="00692223"/>
    <w:rsid w:val="00692B74"/>
    <w:rsid w:val="00692C06"/>
    <w:rsid w:val="00693750"/>
    <w:rsid w:val="0069410E"/>
    <w:rsid w:val="00694271"/>
    <w:rsid w:val="00694CE2"/>
    <w:rsid w:val="006967A9"/>
    <w:rsid w:val="0069704F"/>
    <w:rsid w:val="00697991"/>
    <w:rsid w:val="006A0268"/>
    <w:rsid w:val="006A1340"/>
    <w:rsid w:val="006A1562"/>
    <w:rsid w:val="006A17A0"/>
    <w:rsid w:val="006A3450"/>
    <w:rsid w:val="006A37DD"/>
    <w:rsid w:val="006A42E7"/>
    <w:rsid w:val="006A47FC"/>
    <w:rsid w:val="006A564E"/>
    <w:rsid w:val="006A5F17"/>
    <w:rsid w:val="006A6474"/>
    <w:rsid w:val="006A711E"/>
    <w:rsid w:val="006A7228"/>
    <w:rsid w:val="006A74C3"/>
    <w:rsid w:val="006A799A"/>
    <w:rsid w:val="006B0B92"/>
    <w:rsid w:val="006B14AE"/>
    <w:rsid w:val="006B39E0"/>
    <w:rsid w:val="006B41A9"/>
    <w:rsid w:val="006B48BE"/>
    <w:rsid w:val="006B64A6"/>
    <w:rsid w:val="006B7122"/>
    <w:rsid w:val="006B7524"/>
    <w:rsid w:val="006C05F8"/>
    <w:rsid w:val="006C3569"/>
    <w:rsid w:val="006D14F5"/>
    <w:rsid w:val="006D2CBF"/>
    <w:rsid w:val="006D320E"/>
    <w:rsid w:val="006D46CB"/>
    <w:rsid w:val="006D5798"/>
    <w:rsid w:val="006D75E6"/>
    <w:rsid w:val="006E231A"/>
    <w:rsid w:val="006E6C7C"/>
    <w:rsid w:val="006E7A3B"/>
    <w:rsid w:val="006F12BD"/>
    <w:rsid w:val="006F1524"/>
    <w:rsid w:val="006F2649"/>
    <w:rsid w:val="006F2DD6"/>
    <w:rsid w:val="006F5DB0"/>
    <w:rsid w:val="006F7870"/>
    <w:rsid w:val="00702832"/>
    <w:rsid w:val="00702C67"/>
    <w:rsid w:val="007037E8"/>
    <w:rsid w:val="00703854"/>
    <w:rsid w:val="007039E1"/>
    <w:rsid w:val="007042CA"/>
    <w:rsid w:val="00704AFF"/>
    <w:rsid w:val="00707364"/>
    <w:rsid w:val="00707B51"/>
    <w:rsid w:val="00711292"/>
    <w:rsid w:val="00711429"/>
    <w:rsid w:val="00713A48"/>
    <w:rsid w:val="00713ECE"/>
    <w:rsid w:val="00715C79"/>
    <w:rsid w:val="007172E6"/>
    <w:rsid w:val="00717CC8"/>
    <w:rsid w:val="0072027C"/>
    <w:rsid w:val="00720571"/>
    <w:rsid w:val="007209B9"/>
    <w:rsid w:val="00720AB4"/>
    <w:rsid w:val="007213FF"/>
    <w:rsid w:val="00721D90"/>
    <w:rsid w:val="00722326"/>
    <w:rsid w:val="00722467"/>
    <w:rsid w:val="00723139"/>
    <w:rsid w:val="007233FB"/>
    <w:rsid w:val="00723BFE"/>
    <w:rsid w:val="007240F1"/>
    <w:rsid w:val="007243BB"/>
    <w:rsid w:val="007247BD"/>
    <w:rsid w:val="00724814"/>
    <w:rsid w:val="00725CB9"/>
    <w:rsid w:val="00727993"/>
    <w:rsid w:val="00727C02"/>
    <w:rsid w:val="0073192C"/>
    <w:rsid w:val="00734558"/>
    <w:rsid w:val="00735011"/>
    <w:rsid w:val="0073563A"/>
    <w:rsid w:val="007363CE"/>
    <w:rsid w:val="0073643A"/>
    <w:rsid w:val="0074074D"/>
    <w:rsid w:val="00740C9B"/>
    <w:rsid w:val="0074168B"/>
    <w:rsid w:val="0074175B"/>
    <w:rsid w:val="00741D2F"/>
    <w:rsid w:val="007425FC"/>
    <w:rsid w:val="007430DF"/>
    <w:rsid w:val="0074322C"/>
    <w:rsid w:val="00743624"/>
    <w:rsid w:val="007436D7"/>
    <w:rsid w:val="00744609"/>
    <w:rsid w:val="00744A73"/>
    <w:rsid w:val="0075093E"/>
    <w:rsid w:val="0075104E"/>
    <w:rsid w:val="007521ED"/>
    <w:rsid w:val="0075372E"/>
    <w:rsid w:val="0075408B"/>
    <w:rsid w:val="0075554C"/>
    <w:rsid w:val="00755D24"/>
    <w:rsid w:val="007565B0"/>
    <w:rsid w:val="00757F2A"/>
    <w:rsid w:val="00760045"/>
    <w:rsid w:val="00760848"/>
    <w:rsid w:val="007609AF"/>
    <w:rsid w:val="00761620"/>
    <w:rsid w:val="00761D5E"/>
    <w:rsid w:val="0076277E"/>
    <w:rsid w:val="007627B3"/>
    <w:rsid w:val="00762CCD"/>
    <w:rsid w:val="007635BB"/>
    <w:rsid w:val="00763CD3"/>
    <w:rsid w:val="00766365"/>
    <w:rsid w:val="00766E94"/>
    <w:rsid w:val="0076743D"/>
    <w:rsid w:val="007676BB"/>
    <w:rsid w:val="00767F26"/>
    <w:rsid w:val="00770265"/>
    <w:rsid w:val="0077072D"/>
    <w:rsid w:val="007709C6"/>
    <w:rsid w:val="00772F34"/>
    <w:rsid w:val="007739C0"/>
    <w:rsid w:val="00775650"/>
    <w:rsid w:val="00776B72"/>
    <w:rsid w:val="00777A2D"/>
    <w:rsid w:val="00777F2E"/>
    <w:rsid w:val="00781D69"/>
    <w:rsid w:val="00782389"/>
    <w:rsid w:val="0078280B"/>
    <w:rsid w:val="007831AC"/>
    <w:rsid w:val="00783871"/>
    <w:rsid w:val="00784DED"/>
    <w:rsid w:val="0078529D"/>
    <w:rsid w:val="00785A5B"/>
    <w:rsid w:val="00786221"/>
    <w:rsid w:val="00791A6F"/>
    <w:rsid w:val="00791E88"/>
    <w:rsid w:val="00792A65"/>
    <w:rsid w:val="00793360"/>
    <w:rsid w:val="007936EE"/>
    <w:rsid w:val="0079471B"/>
    <w:rsid w:val="007974F3"/>
    <w:rsid w:val="007978E2"/>
    <w:rsid w:val="007A06B1"/>
    <w:rsid w:val="007A35B0"/>
    <w:rsid w:val="007A4749"/>
    <w:rsid w:val="007A6B33"/>
    <w:rsid w:val="007A72F7"/>
    <w:rsid w:val="007A7B9E"/>
    <w:rsid w:val="007B3CF5"/>
    <w:rsid w:val="007B43CA"/>
    <w:rsid w:val="007B4937"/>
    <w:rsid w:val="007C11E5"/>
    <w:rsid w:val="007C14B1"/>
    <w:rsid w:val="007C15B4"/>
    <w:rsid w:val="007C300B"/>
    <w:rsid w:val="007C42F9"/>
    <w:rsid w:val="007C4770"/>
    <w:rsid w:val="007C622C"/>
    <w:rsid w:val="007D041C"/>
    <w:rsid w:val="007D1150"/>
    <w:rsid w:val="007D1BA9"/>
    <w:rsid w:val="007D1DFB"/>
    <w:rsid w:val="007D22B4"/>
    <w:rsid w:val="007D2393"/>
    <w:rsid w:val="007D67DD"/>
    <w:rsid w:val="007D7AB4"/>
    <w:rsid w:val="007E088E"/>
    <w:rsid w:val="007E0AD1"/>
    <w:rsid w:val="007E65FA"/>
    <w:rsid w:val="007E7933"/>
    <w:rsid w:val="007F0FCE"/>
    <w:rsid w:val="007F3F24"/>
    <w:rsid w:val="007F486A"/>
    <w:rsid w:val="007F54E9"/>
    <w:rsid w:val="007F5BC5"/>
    <w:rsid w:val="007F645A"/>
    <w:rsid w:val="007F648A"/>
    <w:rsid w:val="007F7612"/>
    <w:rsid w:val="007F76FC"/>
    <w:rsid w:val="007F7C5A"/>
    <w:rsid w:val="00800128"/>
    <w:rsid w:val="008002FB"/>
    <w:rsid w:val="00800BDE"/>
    <w:rsid w:val="00801144"/>
    <w:rsid w:val="00804D13"/>
    <w:rsid w:val="008053FE"/>
    <w:rsid w:val="008068AC"/>
    <w:rsid w:val="00806AEE"/>
    <w:rsid w:val="00807E37"/>
    <w:rsid w:val="00807ED2"/>
    <w:rsid w:val="00810066"/>
    <w:rsid w:val="00811995"/>
    <w:rsid w:val="00811A64"/>
    <w:rsid w:val="00812B87"/>
    <w:rsid w:val="00813114"/>
    <w:rsid w:val="008142BE"/>
    <w:rsid w:val="0081456F"/>
    <w:rsid w:val="00814B95"/>
    <w:rsid w:val="0081605F"/>
    <w:rsid w:val="00821120"/>
    <w:rsid w:val="00821E7D"/>
    <w:rsid w:val="00823E74"/>
    <w:rsid w:val="00824114"/>
    <w:rsid w:val="008258DF"/>
    <w:rsid w:val="00826F49"/>
    <w:rsid w:val="00832722"/>
    <w:rsid w:val="00834567"/>
    <w:rsid w:val="0083536C"/>
    <w:rsid w:val="00837CDE"/>
    <w:rsid w:val="00840B55"/>
    <w:rsid w:val="008421F8"/>
    <w:rsid w:val="0084226B"/>
    <w:rsid w:val="008423A0"/>
    <w:rsid w:val="00842D3F"/>
    <w:rsid w:val="0084434A"/>
    <w:rsid w:val="00845027"/>
    <w:rsid w:val="008456C8"/>
    <w:rsid w:val="00850B5D"/>
    <w:rsid w:val="008514E0"/>
    <w:rsid w:val="008516A8"/>
    <w:rsid w:val="00853F2D"/>
    <w:rsid w:val="00855A00"/>
    <w:rsid w:val="00860AE6"/>
    <w:rsid w:val="00861E5A"/>
    <w:rsid w:val="008632CF"/>
    <w:rsid w:val="00864B1F"/>
    <w:rsid w:val="008652F1"/>
    <w:rsid w:val="00865468"/>
    <w:rsid w:val="0086589D"/>
    <w:rsid w:val="00865B4B"/>
    <w:rsid w:val="0086701B"/>
    <w:rsid w:val="008700EC"/>
    <w:rsid w:val="00870D70"/>
    <w:rsid w:val="00871103"/>
    <w:rsid w:val="00871275"/>
    <w:rsid w:val="00873B2F"/>
    <w:rsid w:val="00873FB8"/>
    <w:rsid w:val="008742AA"/>
    <w:rsid w:val="00876F6F"/>
    <w:rsid w:val="0087724D"/>
    <w:rsid w:val="008772E5"/>
    <w:rsid w:val="00877D54"/>
    <w:rsid w:val="00881C57"/>
    <w:rsid w:val="00882DBC"/>
    <w:rsid w:val="008847DE"/>
    <w:rsid w:val="008851B5"/>
    <w:rsid w:val="0088543E"/>
    <w:rsid w:val="008857CA"/>
    <w:rsid w:val="00885B55"/>
    <w:rsid w:val="00885DF0"/>
    <w:rsid w:val="00887161"/>
    <w:rsid w:val="008878E4"/>
    <w:rsid w:val="00887DDD"/>
    <w:rsid w:val="00887EA4"/>
    <w:rsid w:val="008901B3"/>
    <w:rsid w:val="00892E5A"/>
    <w:rsid w:val="00892F7B"/>
    <w:rsid w:val="0089352D"/>
    <w:rsid w:val="0089632B"/>
    <w:rsid w:val="008967A2"/>
    <w:rsid w:val="008972BF"/>
    <w:rsid w:val="008A130F"/>
    <w:rsid w:val="008A150F"/>
    <w:rsid w:val="008A39AF"/>
    <w:rsid w:val="008B010D"/>
    <w:rsid w:val="008B157A"/>
    <w:rsid w:val="008B17C5"/>
    <w:rsid w:val="008B2396"/>
    <w:rsid w:val="008B253A"/>
    <w:rsid w:val="008B6307"/>
    <w:rsid w:val="008B633C"/>
    <w:rsid w:val="008B6D1F"/>
    <w:rsid w:val="008B7038"/>
    <w:rsid w:val="008B765C"/>
    <w:rsid w:val="008B7DA6"/>
    <w:rsid w:val="008C002B"/>
    <w:rsid w:val="008C03AF"/>
    <w:rsid w:val="008C13B3"/>
    <w:rsid w:val="008C17BE"/>
    <w:rsid w:val="008C362D"/>
    <w:rsid w:val="008C45C5"/>
    <w:rsid w:val="008C4A1B"/>
    <w:rsid w:val="008C59B4"/>
    <w:rsid w:val="008C62F8"/>
    <w:rsid w:val="008C799A"/>
    <w:rsid w:val="008D041F"/>
    <w:rsid w:val="008D18E0"/>
    <w:rsid w:val="008D2DDF"/>
    <w:rsid w:val="008D2FCF"/>
    <w:rsid w:val="008D3005"/>
    <w:rsid w:val="008D3674"/>
    <w:rsid w:val="008D3800"/>
    <w:rsid w:val="008D3DFD"/>
    <w:rsid w:val="008D50F6"/>
    <w:rsid w:val="008D5127"/>
    <w:rsid w:val="008D53E6"/>
    <w:rsid w:val="008D6D5C"/>
    <w:rsid w:val="008E0EAE"/>
    <w:rsid w:val="008E499F"/>
    <w:rsid w:val="008E5CBF"/>
    <w:rsid w:val="008E6C47"/>
    <w:rsid w:val="008E6EF7"/>
    <w:rsid w:val="008F04CA"/>
    <w:rsid w:val="008F06D0"/>
    <w:rsid w:val="008F093C"/>
    <w:rsid w:val="008F1297"/>
    <w:rsid w:val="008F2DD9"/>
    <w:rsid w:val="008F3706"/>
    <w:rsid w:val="008F4E5C"/>
    <w:rsid w:val="008F5306"/>
    <w:rsid w:val="008F5A61"/>
    <w:rsid w:val="008F714C"/>
    <w:rsid w:val="008F7C64"/>
    <w:rsid w:val="009006B0"/>
    <w:rsid w:val="00901F3C"/>
    <w:rsid w:val="00902876"/>
    <w:rsid w:val="009052BB"/>
    <w:rsid w:val="0090610A"/>
    <w:rsid w:val="0090655A"/>
    <w:rsid w:val="00907A90"/>
    <w:rsid w:val="0091045D"/>
    <w:rsid w:val="009104DE"/>
    <w:rsid w:val="00910728"/>
    <w:rsid w:val="00911BBF"/>
    <w:rsid w:val="0091334A"/>
    <w:rsid w:val="00913778"/>
    <w:rsid w:val="00914276"/>
    <w:rsid w:val="00915CB8"/>
    <w:rsid w:val="0091619D"/>
    <w:rsid w:val="009168A2"/>
    <w:rsid w:val="00917909"/>
    <w:rsid w:val="009200FB"/>
    <w:rsid w:val="009208C7"/>
    <w:rsid w:val="009208E3"/>
    <w:rsid w:val="0092190A"/>
    <w:rsid w:val="00922509"/>
    <w:rsid w:val="00922E55"/>
    <w:rsid w:val="009238C5"/>
    <w:rsid w:val="00923CAC"/>
    <w:rsid w:val="009252EC"/>
    <w:rsid w:val="0092695E"/>
    <w:rsid w:val="009269EA"/>
    <w:rsid w:val="00927588"/>
    <w:rsid w:val="009302CF"/>
    <w:rsid w:val="009309A7"/>
    <w:rsid w:val="00930B3F"/>
    <w:rsid w:val="00930E58"/>
    <w:rsid w:val="00931E90"/>
    <w:rsid w:val="009336A0"/>
    <w:rsid w:val="00933964"/>
    <w:rsid w:val="00933C4E"/>
    <w:rsid w:val="00933E00"/>
    <w:rsid w:val="009341A3"/>
    <w:rsid w:val="00934719"/>
    <w:rsid w:val="00935B8F"/>
    <w:rsid w:val="00935EC7"/>
    <w:rsid w:val="0093612E"/>
    <w:rsid w:val="00937C46"/>
    <w:rsid w:val="0094319F"/>
    <w:rsid w:val="009433E4"/>
    <w:rsid w:val="00943603"/>
    <w:rsid w:val="00943B04"/>
    <w:rsid w:val="00944A78"/>
    <w:rsid w:val="00944E54"/>
    <w:rsid w:val="00945F01"/>
    <w:rsid w:val="00946272"/>
    <w:rsid w:val="0094665A"/>
    <w:rsid w:val="0095026D"/>
    <w:rsid w:val="00951696"/>
    <w:rsid w:val="00953AB4"/>
    <w:rsid w:val="00953B84"/>
    <w:rsid w:val="00953F9A"/>
    <w:rsid w:val="009626FE"/>
    <w:rsid w:val="00962AD0"/>
    <w:rsid w:val="009630A0"/>
    <w:rsid w:val="00964A39"/>
    <w:rsid w:val="00964A69"/>
    <w:rsid w:val="0096508D"/>
    <w:rsid w:val="00967CEA"/>
    <w:rsid w:val="00967EDE"/>
    <w:rsid w:val="00971D04"/>
    <w:rsid w:val="0097551D"/>
    <w:rsid w:val="0097676C"/>
    <w:rsid w:val="0098188F"/>
    <w:rsid w:val="00981AD2"/>
    <w:rsid w:val="0098237B"/>
    <w:rsid w:val="0098299B"/>
    <w:rsid w:val="00983E6C"/>
    <w:rsid w:val="0098637C"/>
    <w:rsid w:val="00987904"/>
    <w:rsid w:val="00987B8E"/>
    <w:rsid w:val="00990030"/>
    <w:rsid w:val="009907DD"/>
    <w:rsid w:val="009934E9"/>
    <w:rsid w:val="009947F6"/>
    <w:rsid w:val="00996D48"/>
    <w:rsid w:val="00997E94"/>
    <w:rsid w:val="009A057B"/>
    <w:rsid w:val="009A2923"/>
    <w:rsid w:val="009A4345"/>
    <w:rsid w:val="009A4F1A"/>
    <w:rsid w:val="009A5D6E"/>
    <w:rsid w:val="009B07E2"/>
    <w:rsid w:val="009B0C0A"/>
    <w:rsid w:val="009B0F53"/>
    <w:rsid w:val="009B105E"/>
    <w:rsid w:val="009B192E"/>
    <w:rsid w:val="009B27F7"/>
    <w:rsid w:val="009B3582"/>
    <w:rsid w:val="009B3E04"/>
    <w:rsid w:val="009B415D"/>
    <w:rsid w:val="009B4AC3"/>
    <w:rsid w:val="009B5FBB"/>
    <w:rsid w:val="009B6326"/>
    <w:rsid w:val="009B71D7"/>
    <w:rsid w:val="009B78ED"/>
    <w:rsid w:val="009C4B5D"/>
    <w:rsid w:val="009C4E46"/>
    <w:rsid w:val="009C5A9C"/>
    <w:rsid w:val="009C6F84"/>
    <w:rsid w:val="009C7084"/>
    <w:rsid w:val="009C7BA9"/>
    <w:rsid w:val="009D04DA"/>
    <w:rsid w:val="009D0AC7"/>
    <w:rsid w:val="009D0F97"/>
    <w:rsid w:val="009D2B84"/>
    <w:rsid w:val="009D4B19"/>
    <w:rsid w:val="009D5013"/>
    <w:rsid w:val="009D5819"/>
    <w:rsid w:val="009D5E28"/>
    <w:rsid w:val="009D78B4"/>
    <w:rsid w:val="009D78EE"/>
    <w:rsid w:val="009E0061"/>
    <w:rsid w:val="009E027B"/>
    <w:rsid w:val="009E1394"/>
    <w:rsid w:val="009E1DC7"/>
    <w:rsid w:val="009E24A3"/>
    <w:rsid w:val="009E2D99"/>
    <w:rsid w:val="009E398F"/>
    <w:rsid w:val="009E3A9E"/>
    <w:rsid w:val="009E413D"/>
    <w:rsid w:val="009E49F2"/>
    <w:rsid w:val="009E5852"/>
    <w:rsid w:val="009E63E9"/>
    <w:rsid w:val="009E69D3"/>
    <w:rsid w:val="009E6AE5"/>
    <w:rsid w:val="009E6E41"/>
    <w:rsid w:val="009E7324"/>
    <w:rsid w:val="009E7A02"/>
    <w:rsid w:val="009F09C8"/>
    <w:rsid w:val="009F20B9"/>
    <w:rsid w:val="009F24AE"/>
    <w:rsid w:val="009F4A7C"/>
    <w:rsid w:val="009F5BF5"/>
    <w:rsid w:val="009F7945"/>
    <w:rsid w:val="00A04E14"/>
    <w:rsid w:val="00A065FD"/>
    <w:rsid w:val="00A0719E"/>
    <w:rsid w:val="00A0728D"/>
    <w:rsid w:val="00A11D87"/>
    <w:rsid w:val="00A11F42"/>
    <w:rsid w:val="00A11F58"/>
    <w:rsid w:val="00A12205"/>
    <w:rsid w:val="00A12F7B"/>
    <w:rsid w:val="00A13BBD"/>
    <w:rsid w:val="00A142EC"/>
    <w:rsid w:val="00A1594E"/>
    <w:rsid w:val="00A166B4"/>
    <w:rsid w:val="00A21A53"/>
    <w:rsid w:val="00A21AF8"/>
    <w:rsid w:val="00A22737"/>
    <w:rsid w:val="00A22B78"/>
    <w:rsid w:val="00A2315E"/>
    <w:rsid w:val="00A23D52"/>
    <w:rsid w:val="00A24B43"/>
    <w:rsid w:val="00A25EA3"/>
    <w:rsid w:val="00A2634B"/>
    <w:rsid w:val="00A26DE4"/>
    <w:rsid w:val="00A26FFE"/>
    <w:rsid w:val="00A270EE"/>
    <w:rsid w:val="00A2714B"/>
    <w:rsid w:val="00A3069C"/>
    <w:rsid w:val="00A30DCB"/>
    <w:rsid w:val="00A30EF8"/>
    <w:rsid w:val="00A33D5C"/>
    <w:rsid w:val="00A3408C"/>
    <w:rsid w:val="00A348DC"/>
    <w:rsid w:val="00A356E4"/>
    <w:rsid w:val="00A37366"/>
    <w:rsid w:val="00A374F3"/>
    <w:rsid w:val="00A37631"/>
    <w:rsid w:val="00A37EC2"/>
    <w:rsid w:val="00A40BA3"/>
    <w:rsid w:val="00A4123A"/>
    <w:rsid w:val="00A42239"/>
    <w:rsid w:val="00A424B1"/>
    <w:rsid w:val="00A435E7"/>
    <w:rsid w:val="00A44839"/>
    <w:rsid w:val="00A459BE"/>
    <w:rsid w:val="00A45DCD"/>
    <w:rsid w:val="00A45F40"/>
    <w:rsid w:val="00A47D1C"/>
    <w:rsid w:val="00A51B68"/>
    <w:rsid w:val="00A52439"/>
    <w:rsid w:val="00A530BF"/>
    <w:rsid w:val="00A5433C"/>
    <w:rsid w:val="00A5529A"/>
    <w:rsid w:val="00A57132"/>
    <w:rsid w:val="00A573C5"/>
    <w:rsid w:val="00A61F81"/>
    <w:rsid w:val="00A640A0"/>
    <w:rsid w:val="00A64D3E"/>
    <w:rsid w:val="00A663BE"/>
    <w:rsid w:val="00A6704C"/>
    <w:rsid w:val="00A67259"/>
    <w:rsid w:val="00A67348"/>
    <w:rsid w:val="00A67A23"/>
    <w:rsid w:val="00A67C7C"/>
    <w:rsid w:val="00A70F11"/>
    <w:rsid w:val="00A71A56"/>
    <w:rsid w:val="00A72471"/>
    <w:rsid w:val="00A72504"/>
    <w:rsid w:val="00A7336E"/>
    <w:rsid w:val="00A737EC"/>
    <w:rsid w:val="00A73E74"/>
    <w:rsid w:val="00A763EC"/>
    <w:rsid w:val="00A7702B"/>
    <w:rsid w:val="00A80681"/>
    <w:rsid w:val="00A81C33"/>
    <w:rsid w:val="00A8232D"/>
    <w:rsid w:val="00A829DB"/>
    <w:rsid w:val="00A83CFB"/>
    <w:rsid w:val="00A84E80"/>
    <w:rsid w:val="00A862F2"/>
    <w:rsid w:val="00A86976"/>
    <w:rsid w:val="00A90896"/>
    <w:rsid w:val="00A9157E"/>
    <w:rsid w:val="00A91919"/>
    <w:rsid w:val="00A934B8"/>
    <w:rsid w:val="00A934D5"/>
    <w:rsid w:val="00A938A5"/>
    <w:rsid w:val="00A94241"/>
    <w:rsid w:val="00A942A9"/>
    <w:rsid w:val="00A97314"/>
    <w:rsid w:val="00AA0135"/>
    <w:rsid w:val="00AA0D38"/>
    <w:rsid w:val="00AA1818"/>
    <w:rsid w:val="00AA2856"/>
    <w:rsid w:val="00AA33E6"/>
    <w:rsid w:val="00AA4994"/>
    <w:rsid w:val="00AA7F4F"/>
    <w:rsid w:val="00AB3316"/>
    <w:rsid w:val="00AB3E8F"/>
    <w:rsid w:val="00AB45A4"/>
    <w:rsid w:val="00AB4B74"/>
    <w:rsid w:val="00AB5072"/>
    <w:rsid w:val="00AB540F"/>
    <w:rsid w:val="00AB5BF3"/>
    <w:rsid w:val="00AB66E6"/>
    <w:rsid w:val="00AB66EA"/>
    <w:rsid w:val="00AB7619"/>
    <w:rsid w:val="00AB7F4C"/>
    <w:rsid w:val="00AC1322"/>
    <w:rsid w:val="00AC2FF4"/>
    <w:rsid w:val="00AC2FFF"/>
    <w:rsid w:val="00AC3A85"/>
    <w:rsid w:val="00AC41E7"/>
    <w:rsid w:val="00AC7B21"/>
    <w:rsid w:val="00AD070B"/>
    <w:rsid w:val="00AD0E00"/>
    <w:rsid w:val="00AD0F6C"/>
    <w:rsid w:val="00AD4036"/>
    <w:rsid w:val="00AD4ABA"/>
    <w:rsid w:val="00AD5926"/>
    <w:rsid w:val="00AD77A0"/>
    <w:rsid w:val="00AD79F8"/>
    <w:rsid w:val="00AE28CB"/>
    <w:rsid w:val="00AE3E3D"/>
    <w:rsid w:val="00AE4F00"/>
    <w:rsid w:val="00AE650C"/>
    <w:rsid w:val="00AE672E"/>
    <w:rsid w:val="00AE6B02"/>
    <w:rsid w:val="00AF0076"/>
    <w:rsid w:val="00AF0188"/>
    <w:rsid w:val="00AF1202"/>
    <w:rsid w:val="00AF17A3"/>
    <w:rsid w:val="00AF1B6F"/>
    <w:rsid w:val="00AF2692"/>
    <w:rsid w:val="00AF2EDA"/>
    <w:rsid w:val="00AF5DEF"/>
    <w:rsid w:val="00B000D9"/>
    <w:rsid w:val="00B00E04"/>
    <w:rsid w:val="00B01814"/>
    <w:rsid w:val="00B030E8"/>
    <w:rsid w:val="00B11746"/>
    <w:rsid w:val="00B1328B"/>
    <w:rsid w:val="00B16998"/>
    <w:rsid w:val="00B17483"/>
    <w:rsid w:val="00B2038F"/>
    <w:rsid w:val="00B21857"/>
    <w:rsid w:val="00B22D9E"/>
    <w:rsid w:val="00B231A9"/>
    <w:rsid w:val="00B238C7"/>
    <w:rsid w:val="00B2539C"/>
    <w:rsid w:val="00B255B1"/>
    <w:rsid w:val="00B25DA7"/>
    <w:rsid w:val="00B26E15"/>
    <w:rsid w:val="00B270FD"/>
    <w:rsid w:val="00B276F7"/>
    <w:rsid w:val="00B27E81"/>
    <w:rsid w:val="00B3259F"/>
    <w:rsid w:val="00B3669F"/>
    <w:rsid w:val="00B36A41"/>
    <w:rsid w:val="00B377FF"/>
    <w:rsid w:val="00B40D75"/>
    <w:rsid w:val="00B41D3A"/>
    <w:rsid w:val="00B42C1D"/>
    <w:rsid w:val="00B443C3"/>
    <w:rsid w:val="00B45001"/>
    <w:rsid w:val="00B45D1D"/>
    <w:rsid w:val="00B4623D"/>
    <w:rsid w:val="00B5160B"/>
    <w:rsid w:val="00B51E64"/>
    <w:rsid w:val="00B54AE6"/>
    <w:rsid w:val="00B55467"/>
    <w:rsid w:val="00B55B7B"/>
    <w:rsid w:val="00B57EAF"/>
    <w:rsid w:val="00B604BD"/>
    <w:rsid w:val="00B60B5B"/>
    <w:rsid w:val="00B62956"/>
    <w:rsid w:val="00B63ADE"/>
    <w:rsid w:val="00B63F0E"/>
    <w:rsid w:val="00B64444"/>
    <w:rsid w:val="00B66067"/>
    <w:rsid w:val="00B6632B"/>
    <w:rsid w:val="00B66C09"/>
    <w:rsid w:val="00B67396"/>
    <w:rsid w:val="00B67F77"/>
    <w:rsid w:val="00B70419"/>
    <w:rsid w:val="00B71C3C"/>
    <w:rsid w:val="00B72535"/>
    <w:rsid w:val="00B72E80"/>
    <w:rsid w:val="00B76239"/>
    <w:rsid w:val="00B809C7"/>
    <w:rsid w:val="00B8149C"/>
    <w:rsid w:val="00B816A1"/>
    <w:rsid w:val="00B8269E"/>
    <w:rsid w:val="00B82AEB"/>
    <w:rsid w:val="00B8311A"/>
    <w:rsid w:val="00B834F2"/>
    <w:rsid w:val="00B83971"/>
    <w:rsid w:val="00B8585B"/>
    <w:rsid w:val="00B85E4B"/>
    <w:rsid w:val="00B871E0"/>
    <w:rsid w:val="00B8721B"/>
    <w:rsid w:val="00B87D4C"/>
    <w:rsid w:val="00B901C9"/>
    <w:rsid w:val="00B91FAF"/>
    <w:rsid w:val="00B94946"/>
    <w:rsid w:val="00B94F15"/>
    <w:rsid w:val="00B95044"/>
    <w:rsid w:val="00B97508"/>
    <w:rsid w:val="00BA1D77"/>
    <w:rsid w:val="00BA1D85"/>
    <w:rsid w:val="00BA26EF"/>
    <w:rsid w:val="00BA697E"/>
    <w:rsid w:val="00BA69B9"/>
    <w:rsid w:val="00BA6FA8"/>
    <w:rsid w:val="00BA7850"/>
    <w:rsid w:val="00BA7C28"/>
    <w:rsid w:val="00BB0253"/>
    <w:rsid w:val="00BB0EFF"/>
    <w:rsid w:val="00BB3524"/>
    <w:rsid w:val="00BB47C5"/>
    <w:rsid w:val="00BB4B0C"/>
    <w:rsid w:val="00BB4D97"/>
    <w:rsid w:val="00BB4E75"/>
    <w:rsid w:val="00BB51A8"/>
    <w:rsid w:val="00BB5CE7"/>
    <w:rsid w:val="00BB64B7"/>
    <w:rsid w:val="00BB6F3D"/>
    <w:rsid w:val="00BC0E4E"/>
    <w:rsid w:val="00BC0FA3"/>
    <w:rsid w:val="00BC1621"/>
    <w:rsid w:val="00BC1964"/>
    <w:rsid w:val="00BC26F5"/>
    <w:rsid w:val="00BC43F0"/>
    <w:rsid w:val="00BC5586"/>
    <w:rsid w:val="00BC56F3"/>
    <w:rsid w:val="00BC6685"/>
    <w:rsid w:val="00BD0B90"/>
    <w:rsid w:val="00BD0E66"/>
    <w:rsid w:val="00BD3032"/>
    <w:rsid w:val="00BD33FC"/>
    <w:rsid w:val="00BD3E21"/>
    <w:rsid w:val="00BD488D"/>
    <w:rsid w:val="00BD588E"/>
    <w:rsid w:val="00BD62C1"/>
    <w:rsid w:val="00BD63EE"/>
    <w:rsid w:val="00BD6968"/>
    <w:rsid w:val="00BD798E"/>
    <w:rsid w:val="00BE00B4"/>
    <w:rsid w:val="00BE0923"/>
    <w:rsid w:val="00BE138A"/>
    <w:rsid w:val="00BE17D7"/>
    <w:rsid w:val="00BE20CD"/>
    <w:rsid w:val="00BE3B88"/>
    <w:rsid w:val="00BE3D47"/>
    <w:rsid w:val="00BE3DB2"/>
    <w:rsid w:val="00BE518C"/>
    <w:rsid w:val="00BE7AAC"/>
    <w:rsid w:val="00BF1E8A"/>
    <w:rsid w:val="00BF27B7"/>
    <w:rsid w:val="00BF2DD3"/>
    <w:rsid w:val="00BF30E8"/>
    <w:rsid w:val="00BF4326"/>
    <w:rsid w:val="00BF530B"/>
    <w:rsid w:val="00C003EE"/>
    <w:rsid w:val="00C0082D"/>
    <w:rsid w:val="00C00B47"/>
    <w:rsid w:val="00C0273C"/>
    <w:rsid w:val="00C03601"/>
    <w:rsid w:val="00C0407F"/>
    <w:rsid w:val="00C07929"/>
    <w:rsid w:val="00C10AC5"/>
    <w:rsid w:val="00C10FA5"/>
    <w:rsid w:val="00C11290"/>
    <w:rsid w:val="00C1168A"/>
    <w:rsid w:val="00C11A4F"/>
    <w:rsid w:val="00C13A11"/>
    <w:rsid w:val="00C1779A"/>
    <w:rsid w:val="00C207EA"/>
    <w:rsid w:val="00C21931"/>
    <w:rsid w:val="00C23686"/>
    <w:rsid w:val="00C236DA"/>
    <w:rsid w:val="00C23A14"/>
    <w:rsid w:val="00C2425C"/>
    <w:rsid w:val="00C242B3"/>
    <w:rsid w:val="00C24BCE"/>
    <w:rsid w:val="00C2561C"/>
    <w:rsid w:val="00C25977"/>
    <w:rsid w:val="00C261AA"/>
    <w:rsid w:val="00C2695D"/>
    <w:rsid w:val="00C30181"/>
    <w:rsid w:val="00C30972"/>
    <w:rsid w:val="00C312C2"/>
    <w:rsid w:val="00C31C90"/>
    <w:rsid w:val="00C31F3C"/>
    <w:rsid w:val="00C33E95"/>
    <w:rsid w:val="00C34912"/>
    <w:rsid w:val="00C366F3"/>
    <w:rsid w:val="00C36E4E"/>
    <w:rsid w:val="00C37A33"/>
    <w:rsid w:val="00C40F1B"/>
    <w:rsid w:val="00C4245B"/>
    <w:rsid w:val="00C4367F"/>
    <w:rsid w:val="00C44A13"/>
    <w:rsid w:val="00C45401"/>
    <w:rsid w:val="00C457A6"/>
    <w:rsid w:val="00C464D7"/>
    <w:rsid w:val="00C506B9"/>
    <w:rsid w:val="00C50CB1"/>
    <w:rsid w:val="00C52157"/>
    <w:rsid w:val="00C53535"/>
    <w:rsid w:val="00C538F0"/>
    <w:rsid w:val="00C55CC4"/>
    <w:rsid w:val="00C56043"/>
    <w:rsid w:val="00C567F2"/>
    <w:rsid w:val="00C57AB0"/>
    <w:rsid w:val="00C6007F"/>
    <w:rsid w:val="00C6033D"/>
    <w:rsid w:val="00C60C4C"/>
    <w:rsid w:val="00C61214"/>
    <w:rsid w:val="00C61277"/>
    <w:rsid w:val="00C61894"/>
    <w:rsid w:val="00C62F87"/>
    <w:rsid w:val="00C65ECB"/>
    <w:rsid w:val="00C65F74"/>
    <w:rsid w:val="00C6634E"/>
    <w:rsid w:val="00C6641C"/>
    <w:rsid w:val="00C665B7"/>
    <w:rsid w:val="00C667A4"/>
    <w:rsid w:val="00C6778A"/>
    <w:rsid w:val="00C706B7"/>
    <w:rsid w:val="00C71A3B"/>
    <w:rsid w:val="00C73A4E"/>
    <w:rsid w:val="00C73F31"/>
    <w:rsid w:val="00C74006"/>
    <w:rsid w:val="00C7645B"/>
    <w:rsid w:val="00C765DE"/>
    <w:rsid w:val="00C77130"/>
    <w:rsid w:val="00C776F8"/>
    <w:rsid w:val="00C8157D"/>
    <w:rsid w:val="00C82A9C"/>
    <w:rsid w:val="00C8582C"/>
    <w:rsid w:val="00C86596"/>
    <w:rsid w:val="00C90291"/>
    <w:rsid w:val="00C90700"/>
    <w:rsid w:val="00C93B13"/>
    <w:rsid w:val="00C93FEE"/>
    <w:rsid w:val="00C96905"/>
    <w:rsid w:val="00CA0FE6"/>
    <w:rsid w:val="00CA1482"/>
    <w:rsid w:val="00CA18C3"/>
    <w:rsid w:val="00CA332C"/>
    <w:rsid w:val="00CA40A4"/>
    <w:rsid w:val="00CA4385"/>
    <w:rsid w:val="00CA471A"/>
    <w:rsid w:val="00CA518E"/>
    <w:rsid w:val="00CA65B1"/>
    <w:rsid w:val="00CA698A"/>
    <w:rsid w:val="00CA72AB"/>
    <w:rsid w:val="00CA7EBA"/>
    <w:rsid w:val="00CB0550"/>
    <w:rsid w:val="00CB06D6"/>
    <w:rsid w:val="00CB135B"/>
    <w:rsid w:val="00CB15A4"/>
    <w:rsid w:val="00CB4096"/>
    <w:rsid w:val="00CB5E18"/>
    <w:rsid w:val="00CB6FB6"/>
    <w:rsid w:val="00CC092F"/>
    <w:rsid w:val="00CC115D"/>
    <w:rsid w:val="00CC1EC5"/>
    <w:rsid w:val="00CC2E91"/>
    <w:rsid w:val="00CC329F"/>
    <w:rsid w:val="00CC3952"/>
    <w:rsid w:val="00CC6119"/>
    <w:rsid w:val="00CC69B6"/>
    <w:rsid w:val="00CD0910"/>
    <w:rsid w:val="00CD1040"/>
    <w:rsid w:val="00CD26E8"/>
    <w:rsid w:val="00CD6227"/>
    <w:rsid w:val="00CE0620"/>
    <w:rsid w:val="00CE0985"/>
    <w:rsid w:val="00CE13B0"/>
    <w:rsid w:val="00CE39CE"/>
    <w:rsid w:val="00CE5215"/>
    <w:rsid w:val="00CE5224"/>
    <w:rsid w:val="00CE5484"/>
    <w:rsid w:val="00CE5649"/>
    <w:rsid w:val="00CE5854"/>
    <w:rsid w:val="00CE62C5"/>
    <w:rsid w:val="00CE7B39"/>
    <w:rsid w:val="00CF03B1"/>
    <w:rsid w:val="00CF0457"/>
    <w:rsid w:val="00CF0556"/>
    <w:rsid w:val="00CF0A90"/>
    <w:rsid w:val="00CF2C51"/>
    <w:rsid w:val="00CF46B9"/>
    <w:rsid w:val="00CF59F6"/>
    <w:rsid w:val="00CF5D88"/>
    <w:rsid w:val="00CF5EA6"/>
    <w:rsid w:val="00CF6171"/>
    <w:rsid w:val="00CF7EAF"/>
    <w:rsid w:val="00D005B7"/>
    <w:rsid w:val="00D00673"/>
    <w:rsid w:val="00D0259B"/>
    <w:rsid w:val="00D030A5"/>
    <w:rsid w:val="00D03D73"/>
    <w:rsid w:val="00D03DBF"/>
    <w:rsid w:val="00D04E5C"/>
    <w:rsid w:val="00D065D5"/>
    <w:rsid w:val="00D13C82"/>
    <w:rsid w:val="00D17DE3"/>
    <w:rsid w:val="00D20E6C"/>
    <w:rsid w:val="00D20ED0"/>
    <w:rsid w:val="00D21F76"/>
    <w:rsid w:val="00D22003"/>
    <w:rsid w:val="00D2209F"/>
    <w:rsid w:val="00D22A04"/>
    <w:rsid w:val="00D2318B"/>
    <w:rsid w:val="00D24C38"/>
    <w:rsid w:val="00D25457"/>
    <w:rsid w:val="00D26870"/>
    <w:rsid w:val="00D26980"/>
    <w:rsid w:val="00D27E0F"/>
    <w:rsid w:val="00D304AE"/>
    <w:rsid w:val="00D3068C"/>
    <w:rsid w:val="00D31E98"/>
    <w:rsid w:val="00D31F9D"/>
    <w:rsid w:val="00D33BF5"/>
    <w:rsid w:val="00D36885"/>
    <w:rsid w:val="00D41831"/>
    <w:rsid w:val="00D41BF7"/>
    <w:rsid w:val="00D432C3"/>
    <w:rsid w:val="00D43588"/>
    <w:rsid w:val="00D45213"/>
    <w:rsid w:val="00D45E91"/>
    <w:rsid w:val="00D50011"/>
    <w:rsid w:val="00D519BD"/>
    <w:rsid w:val="00D52033"/>
    <w:rsid w:val="00D53185"/>
    <w:rsid w:val="00D54866"/>
    <w:rsid w:val="00D54C93"/>
    <w:rsid w:val="00D558F4"/>
    <w:rsid w:val="00D56566"/>
    <w:rsid w:val="00D56ABC"/>
    <w:rsid w:val="00D56F60"/>
    <w:rsid w:val="00D601AE"/>
    <w:rsid w:val="00D607A6"/>
    <w:rsid w:val="00D61611"/>
    <w:rsid w:val="00D623F5"/>
    <w:rsid w:val="00D63114"/>
    <w:rsid w:val="00D637CB"/>
    <w:rsid w:val="00D65EC1"/>
    <w:rsid w:val="00D672FC"/>
    <w:rsid w:val="00D674E1"/>
    <w:rsid w:val="00D67632"/>
    <w:rsid w:val="00D67E7B"/>
    <w:rsid w:val="00D71EC3"/>
    <w:rsid w:val="00D72A75"/>
    <w:rsid w:val="00D7331F"/>
    <w:rsid w:val="00D73B2C"/>
    <w:rsid w:val="00D740D5"/>
    <w:rsid w:val="00D74399"/>
    <w:rsid w:val="00D74CA9"/>
    <w:rsid w:val="00D76C8D"/>
    <w:rsid w:val="00D775EC"/>
    <w:rsid w:val="00D8027E"/>
    <w:rsid w:val="00D803A9"/>
    <w:rsid w:val="00D8085D"/>
    <w:rsid w:val="00D81392"/>
    <w:rsid w:val="00D831D2"/>
    <w:rsid w:val="00D83FF9"/>
    <w:rsid w:val="00D84E97"/>
    <w:rsid w:val="00D85E29"/>
    <w:rsid w:val="00D86800"/>
    <w:rsid w:val="00D87F14"/>
    <w:rsid w:val="00D9055B"/>
    <w:rsid w:val="00D909C5"/>
    <w:rsid w:val="00D9187C"/>
    <w:rsid w:val="00D92565"/>
    <w:rsid w:val="00D92E46"/>
    <w:rsid w:val="00D94BFB"/>
    <w:rsid w:val="00D94F46"/>
    <w:rsid w:val="00D95558"/>
    <w:rsid w:val="00D9557C"/>
    <w:rsid w:val="00D95E38"/>
    <w:rsid w:val="00D9642B"/>
    <w:rsid w:val="00D96979"/>
    <w:rsid w:val="00D96A3F"/>
    <w:rsid w:val="00D96E17"/>
    <w:rsid w:val="00D97035"/>
    <w:rsid w:val="00D97230"/>
    <w:rsid w:val="00D978C6"/>
    <w:rsid w:val="00DA026B"/>
    <w:rsid w:val="00DA0C05"/>
    <w:rsid w:val="00DA0E3F"/>
    <w:rsid w:val="00DA1893"/>
    <w:rsid w:val="00DA3FC7"/>
    <w:rsid w:val="00DA42A9"/>
    <w:rsid w:val="00DA7AC8"/>
    <w:rsid w:val="00DB08D1"/>
    <w:rsid w:val="00DB18EA"/>
    <w:rsid w:val="00DB1FF6"/>
    <w:rsid w:val="00DB283C"/>
    <w:rsid w:val="00DB5001"/>
    <w:rsid w:val="00DB7C1E"/>
    <w:rsid w:val="00DC0317"/>
    <w:rsid w:val="00DC069A"/>
    <w:rsid w:val="00DC2943"/>
    <w:rsid w:val="00DC2D9A"/>
    <w:rsid w:val="00DC3037"/>
    <w:rsid w:val="00DC4447"/>
    <w:rsid w:val="00DC63CD"/>
    <w:rsid w:val="00DD04BA"/>
    <w:rsid w:val="00DD1AD2"/>
    <w:rsid w:val="00DD22F5"/>
    <w:rsid w:val="00DD2492"/>
    <w:rsid w:val="00DD2B15"/>
    <w:rsid w:val="00DD2C9E"/>
    <w:rsid w:val="00DD2EBB"/>
    <w:rsid w:val="00DD3266"/>
    <w:rsid w:val="00DD51C5"/>
    <w:rsid w:val="00DD5618"/>
    <w:rsid w:val="00DD6C56"/>
    <w:rsid w:val="00DD6D4C"/>
    <w:rsid w:val="00DD7A51"/>
    <w:rsid w:val="00DE0281"/>
    <w:rsid w:val="00DE348C"/>
    <w:rsid w:val="00DE6223"/>
    <w:rsid w:val="00DE67F1"/>
    <w:rsid w:val="00DE741F"/>
    <w:rsid w:val="00DE78B9"/>
    <w:rsid w:val="00DF1EB9"/>
    <w:rsid w:val="00DF2AA1"/>
    <w:rsid w:val="00DF3319"/>
    <w:rsid w:val="00DF376F"/>
    <w:rsid w:val="00DF3B3C"/>
    <w:rsid w:val="00DF4AB6"/>
    <w:rsid w:val="00DF4FB8"/>
    <w:rsid w:val="00DF6E6A"/>
    <w:rsid w:val="00E00252"/>
    <w:rsid w:val="00E01E30"/>
    <w:rsid w:val="00E06951"/>
    <w:rsid w:val="00E10F62"/>
    <w:rsid w:val="00E11262"/>
    <w:rsid w:val="00E12527"/>
    <w:rsid w:val="00E13486"/>
    <w:rsid w:val="00E1394F"/>
    <w:rsid w:val="00E14B58"/>
    <w:rsid w:val="00E16B6A"/>
    <w:rsid w:val="00E16D6A"/>
    <w:rsid w:val="00E17741"/>
    <w:rsid w:val="00E17B19"/>
    <w:rsid w:val="00E23A24"/>
    <w:rsid w:val="00E24A6F"/>
    <w:rsid w:val="00E25765"/>
    <w:rsid w:val="00E26520"/>
    <w:rsid w:val="00E278A0"/>
    <w:rsid w:val="00E302D9"/>
    <w:rsid w:val="00E31B72"/>
    <w:rsid w:val="00E3228C"/>
    <w:rsid w:val="00E32A5F"/>
    <w:rsid w:val="00E35018"/>
    <w:rsid w:val="00E352BF"/>
    <w:rsid w:val="00E35B6C"/>
    <w:rsid w:val="00E408B3"/>
    <w:rsid w:val="00E40C4B"/>
    <w:rsid w:val="00E42141"/>
    <w:rsid w:val="00E42E6B"/>
    <w:rsid w:val="00E43111"/>
    <w:rsid w:val="00E43D85"/>
    <w:rsid w:val="00E450EA"/>
    <w:rsid w:val="00E46DEB"/>
    <w:rsid w:val="00E50F9F"/>
    <w:rsid w:val="00E518B6"/>
    <w:rsid w:val="00E51D7A"/>
    <w:rsid w:val="00E52A90"/>
    <w:rsid w:val="00E5322F"/>
    <w:rsid w:val="00E55259"/>
    <w:rsid w:val="00E55E97"/>
    <w:rsid w:val="00E573DE"/>
    <w:rsid w:val="00E57AFB"/>
    <w:rsid w:val="00E57D2E"/>
    <w:rsid w:val="00E60387"/>
    <w:rsid w:val="00E60586"/>
    <w:rsid w:val="00E607F4"/>
    <w:rsid w:val="00E64F11"/>
    <w:rsid w:val="00E6563F"/>
    <w:rsid w:val="00E65D95"/>
    <w:rsid w:val="00E701C9"/>
    <w:rsid w:val="00E71A54"/>
    <w:rsid w:val="00E738D1"/>
    <w:rsid w:val="00E741E6"/>
    <w:rsid w:val="00E758DF"/>
    <w:rsid w:val="00E7698D"/>
    <w:rsid w:val="00E778CC"/>
    <w:rsid w:val="00E806A1"/>
    <w:rsid w:val="00E81556"/>
    <w:rsid w:val="00E81DCC"/>
    <w:rsid w:val="00E87188"/>
    <w:rsid w:val="00E8726E"/>
    <w:rsid w:val="00E90407"/>
    <w:rsid w:val="00E9252F"/>
    <w:rsid w:val="00E92A5B"/>
    <w:rsid w:val="00E92C85"/>
    <w:rsid w:val="00E9302F"/>
    <w:rsid w:val="00E94887"/>
    <w:rsid w:val="00E94989"/>
    <w:rsid w:val="00EA0C8D"/>
    <w:rsid w:val="00EA1090"/>
    <w:rsid w:val="00EA32EE"/>
    <w:rsid w:val="00EA5159"/>
    <w:rsid w:val="00EA59C7"/>
    <w:rsid w:val="00EA5F27"/>
    <w:rsid w:val="00EA6255"/>
    <w:rsid w:val="00EB081D"/>
    <w:rsid w:val="00EB0DA8"/>
    <w:rsid w:val="00EB128F"/>
    <w:rsid w:val="00EB1840"/>
    <w:rsid w:val="00EB1B00"/>
    <w:rsid w:val="00EB3FF2"/>
    <w:rsid w:val="00EB420D"/>
    <w:rsid w:val="00EB5D81"/>
    <w:rsid w:val="00EB73E3"/>
    <w:rsid w:val="00EB796B"/>
    <w:rsid w:val="00EC107E"/>
    <w:rsid w:val="00EC1231"/>
    <w:rsid w:val="00EC1393"/>
    <w:rsid w:val="00EC23EF"/>
    <w:rsid w:val="00EC4561"/>
    <w:rsid w:val="00EC4D2C"/>
    <w:rsid w:val="00EC4FA3"/>
    <w:rsid w:val="00EC506A"/>
    <w:rsid w:val="00EC569E"/>
    <w:rsid w:val="00EC6486"/>
    <w:rsid w:val="00EC6510"/>
    <w:rsid w:val="00EC7164"/>
    <w:rsid w:val="00ED3478"/>
    <w:rsid w:val="00ED391F"/>
    <w:rsid w:val="00ED42F1"/>
    <w:rsid w:val="00ED515C"/>
    <w:rsid w:val="00ED53FE"/>
    <w:rsid w:val="00ED79B0"/>
    <w:rsid w:val="00EE0D0E"/>
    <w:rsid w:val="00EE2532"/>
    <w:rsid w:val="00EE2A86"/>
    <w:rsid w:val="00EE3C36"/>
    <w:rsid w:val="00EE48C2"/>
    <w:rsid w:val="00EE5C62"/>
    <w:rsid w:val="00EE6A79"/>
    <w:rsid w:val="00EE73B2"/>
    <w:rsid w:val="00EE7CF0"/>
    <w:rsid w:val="00EF39E7"/>
    <w:rsid w:val="00EF53FC"/>
    <w:rsid w:val="00EF6567"/>
    <w:rsid w:val="00EF7CD0"/>
    <w:rsid w:val="00F002E6"/>
    <w:rsid w:val="00F0068A"/>
    <w:rsid w:val="00F01468"/>
    <w:rsid w:val="00F023E3"/>
    <w:rsid w:val="00F05888"/>
    <w:rsid w:val="00F06965"/>
    <w:rsid w:val="00F06CF9"/>
    <w:rsid w:val="00F110A1"/>
    <w:rsid w:val="00F12E62"/>
    <w:rsid w:val="00F135B6"/>
    <w:rsid w:val="00F136B5"/>
    <w:rsid w:val="00F156F0"/>
    <w:rsid w:val="00F1627D"/>
    <w:rsid w:val="00F20017"/>
    <w:rsid w:val="00F204D6"/>
    <w:rsid w:val="00F213F4"/>
    <w:rsid w:val="00F229C5"/>
    <w:rsid w:val="00F23542"/>
    <w:rsid w:val="00F23F36"/>
    <w:rsid w:val="00F23FFB"/>
    <w:rsid w:val="00F2779F"/>
    <w:rsid w:val="00F300D4"/>
    <w:rsid w:val="00F31B48"/>
    <w:rsid w:val="00F31DD8"/>
    <w:rsid w:val="00F32501"/>
    <w:rsid w:val="00F36146"/>
    <w:rsid w:val="00F36EA0"/>
    <w:rsid w:val="00F36EAD"/>
    <w:rsid w:val="00F379E4"/>
    <w:rsid w:val="00F416B4"/>
    <w:rsid w:val="00F41765"/>
    <w:rsid w:val="00F42BE8"/>
    <w:rsid w:val="00F42E95"/>
    <w:rsid w:val="00F43D59"/>
    <w:rsid w:val="00F44209"/>
    <w:rsid w:val="00F446FA"/>
    <w:rsid w:val="00F4503F"/>
    <w:rsid w:val="00F45C4E"/>
    <w:rsid w:val="00F45CD3"/>
    <w:rsid w:val="00F45EB4"/>
    <w:rsid w:val="00F5131B"/>
    <w:rsid w:val="00F53A4E"/>
    <w:rsid w:val="00F5449B"/>
    <w:rsid w:val="00F55354"/>
    <w:rsid w:val="00F553C2"/>
    <w:rsid w:val="00F556F3"/>
    <w:rsid w:val="00F577BA"/>
    <w:rsid w:val="00F57814"/>
    <w:rsid w:val="00F60A55"/>
    <w:rsid w:val="00F60B94"/>
    <w:rsid w:val="00F612D4"/>
    <w:rsid w:val="00F61BC0"/>
    <w:rsid w:val="00F632DA"/>
    <w:rsid w:val="00F63663"/>
    <w:rsid w:val="00F63747"/>
    <w:rsid w:val="00F6474A"/>
    <w:rsid w:val="00F6578D"/>
    <w:rsid w:val="00F65916"/>
    <w:rsid w:val="00F65A50"/>
    <w:rsid w:val="00F66F38"/>
    <w:rsid w:val="00F70C76"/>
    <w:rsid w:val="00F714FF"/>
    <w:rsid w:val="00F74322"/>
    <w:rsid w:val="00F744B5"/>
    <w:rsid w:val="00F749ED"/>
    <w:rsid w:val="00F74BEF"/>
    <w:rsid w:val="00F74D79"/>
    <w:rsid w:val="00F7636E"/>
    <w:rsid w:val="00F77684"/>
    <w:rsid w:val="00F77770"/>
    <w:rsid w:val="00F77B46"/>
    <w:rsid w:val="00F80932"/>
    <w:rsid w:val="00F81598"/>
    <w:rsid w:val="00F81C68"/>
    <w:rsid w:val="00F84210"/>
    <w:rsid w:val="00F84BEE"/>
    <w:rsid w:val="00F854A1"/>
    <w:rsid w:val="00F87349"/>
    <w:rsid w:val="00F900C1"/>
    <w:rsid w:val="00F908BE"/>
    <w:rsid w:val="00F92CCB"/>
    <w:rsid w:val="00F95765"/>
    <w:rsid w:val="00F95A7B"/>
    <w:rsid w:val="00F9712C"/>
    <w:rsid w:val="00FA09D0"/>
    <w:rsid w:val="00FA0B86"/>
    <w:rsid w:val="00FA0D06"/>
    <w:rsid w:val="00FA1E21"/>
    <w:rsid w:val="00FA310A"/>
    <w:rsid w:val="00FA3E17"/>
    <w:rsid w:val="00FA3E9F"/>
    <w:rsid w:val="00FA40FF"/>
    <w:rsid w:val="00FA4446"/>
    <w:rsid w:val="00FA5BA7"/>
    <w:rsid w:val="00FA7A1B"/>
    <w:rsid w:val="00FA7E49"/>
    <w:rsid w:val="00FA7F0E"/>
    <w:rsid w:val="00FB0EF7"/>
    <w:rsid w:val="00FB1089"/>
    <w:rsid w:val="00FB1903"/>
    <w:rsid w:val="00FB3876"/>
    <w:rsid w:val="00FB3DBE"/>
    <w:rsid w:val="00FB43A4"/>
    <w:rsid w:val="00FB51AB"/>
    <w:rsid w:val="00FB6964"/>
    <w:rsid w:val="00FB6D58"/>
    <w:rsid w:val="00FB7511"/>
    <w:rsid w:val="00FC0725"/>
    <w:rsid w:val="00FC0B8A"/>
    <w:rsid w:val="00FC1E0B"/>
    <w:rsid w:val="00FC2A52"/>
    <w:rsid w:val="00FC2F10"/>
    <w:rsid w:val="00FC3271"/>
    <w:rsid w:val="00FC5A3E"/>
    <w:rsid w:val="00FC606D"/>
    <w:rsid w:val="00FC61FE"/>
    <w:rsid w:val="00FC6C8E"/>
    <w:rsid w:val="00FC71F5"/>
    <w:rsid w:val="00FD0543"/>
    <w:rsid w:val="00FD26BC"/>
    <w:rsid w:val="00FD2B2B"/>
    <w:rsid w:val="00FD4BE2"/>
    <w:rsid w:val="00FD4FE8"/>
    <w:rsid w:val="00FE0D3C"/>
    <w:rsid w:val="00FE10B0"/>
    <w:rsid w:val="00FE15EF"/>
    <w:rsid w:val="00FE3456"/>
    <w:rsid w:val="00FE3F6B"/>
    <w:rsid w:val="00FE4606"/>
    <w:rsid w:val="00FE467D"/>
    <w:rsid w:val="00FE4681"/>
    <w:rsid w:val="00FE4749"/>
    <w:rsid w:val="00FE66C9"/>
    <w:rsid w:val="00FE7679"/>
    <w:rsid w:val="00FE7CB9"/>
    <w:rsid w:val="00FF0E89"/>
    <w:rsid w:val="00FF2076"/>
    <w:rsid w:val="00FF24CB"/>
    <w:rsid w:val="00FF33CA"/>
    <w:rsid w:val="00FF3B97"/>
    <w:rsid w:val="00FF6C86"/>
    <w:rsid w:val="00FF7BC0"/>
    <w:rsid w:val="01093F7D"/>
    <w:rsid w:val="02877AF1"/>
    <w:rsid w:val="02944929"/>
    <w:rsid w:val="02CA211F"/>
    <w:rsid w:val="02E33720"/>
    <w:rsid w:val="02EC5DA3"/>
    <w:rsid w:val="030806B1"/>
    <w:rsid w:val="0370691B"/>
    <w:rsid w:val="045C7CE8"/>
    <w:rsid w:val="047E077F"/>
    <w:rsid w:val="04836EC1"/>
    <w:rsid w:val="04D54900"/>
    <w:rsid w:val="04F13A7E"/>
    <w:rsid w:val="05887B48"/>
    <w:rsid w:val="058B5F97"/>
    <w:rsid w:val="06EC09AF"/>
    <w:rsid w:val="07206D04"/>
    <w:rsid w:val="07565116"/>
    <w:rsid w:val="07883899"/>
    <w:rsid w:val="078F6575"/>
    <w:rsid w:val="086469AE"/>
    <w:rsid w:val="088825F4"/>
    <w:rsid w:val="08C6729B"/>
    <w:rsid w:val="09716F43"/>
    <w:rsid w:val="097E0022"/>
    <w:rsid w:val="09BA1F28"/>
    <w:rsid w:val="09DC1748"/>
    <w:rsid w:val="0A141797"/>
    <w:rsid w:val="0A814C5D"/>
    <w:rsid w:val="0A8225E0"/>
    <w:rsid w:val="0B7E4685"/>
    <w:rsid w:val="0BBF75FB"/>
    <w:rsid w:val="0BF422BF"/>
    <w:rsid w:val="0C006D1F"/>
    <w:rsid w:val="0C5F3431"/>
    <w:rsid w:val="0C88111D"/>
    <w:rsid w:val="0CB71EAD"/>
    <w:rsid w:val="0FC31BBD"/>
    <w:rsid w:val="100F2F6F"/>
    <w:rsid w:val="10D27D32"/>
    <w:rsid w:val="11104679"/>
    <w:rsid w:val="11AD3020"/>
    <w:rsid w:val="1236016D"/>
    <w:rsid w:val="129E4E74"/>
    <w:rsid w:val="12AC346D"/>
    <w:rsid w:val="12D2219C"/>
    <w:rsid w:val="131A4E5A"/>
    <w:rsid w:val="13800F89"/>
    <w:rsid w:val="13B07319"/>
    <w:rsid w:val="13C2176A"/>
    <w:rsid w:val="13CB1330"/>
    <w:rsid w:val="144D4CEB"/>
    <w:rsid w:val="145C6C1F"/>
    <w:rsid w:val="148D1121"/>
    <w:rsid w:val="14C12F5A"/>
    <w:rsid w:val="152E6BB6"/>
    <w:rsid w:val="153562E2"/>
    <w:rsid w:val="15693AA8"/>
    <w:rsid w:val="156B2786"/>
    <w:rsid w:val="15875F00"/>
    <w:rsid w:val="15B10648"/>
    <w:rsid w:val="16893F6C"/>
    <w:rsid w:val="169F4A32"/>
    <w:rsid w:val="17005CA4"/>
    <w:rsid w:val="174A1CE8"/>
    <w:rsid w:val="17846474"/>
    <w:rsid w:val="1850784F"/>
    <w:rsid w:val="18674CA1"/>
    <w:rsid w:val="18F97719"/>
    <w:rsid w:val="19122F2B"/>
    <w:rsid w:val="19825BD9"/>
    <w:rsid w:val="19DE7B6F"/>
    <w:rsid w:val="1A0F44D9"/>
    <w:rsid w:val="1A631C48"/>
    <w:rsid w:val="1A651293"/>
    <w:rsid w:val="1AA9685F"/>
    <w:rsid w:val="1B9066E5"/>
    <w:rsid w:val="1DD33648"/>
    <w:rsid w:val="1E257E21"/>
    <w:rsid w:val="1E2D038D"/>
    <w:rsid w:val="1E980E02"/>
    <w:rsid w:val="1EEC067C"/>
    <w:rsid w:val="1EF35B04"/>
    <w:rsid w:val="1F2E5B57"/>
    <w:rsid w:val="1F586E37"/>
    <w:rsid w:val="1F675629"/>
    <w:rsid w:val="1FC86419"/>
    <w:rsid w:val="211F5A07"/>
    <w:rsid w:val="219066B0"/>
    <w:rsid w:val="21B71FE3"/>
    <w:rsid w:val="21E81D77"/>
    <w:rsid w:val="22051153"/>
    <w:rsid w:val="2221597B"/>
    <w:rsid w:val="226E72ED"/>
    <w:rsid w:val="23C47A32"/>
    <w:rsid w:val="24B10DC5"/>
    <w:rsid w:val="24B44889"/>
    <w:rsid w:val="24CA6F0B"/>
    <w:rsid w:val="24D6053E"/>
    <w:rsid w:val="2542476E"/>
    <w:rsid w:val="255C1023"/>
    <w:rsid w:val="256718FC"/>
    <w:rsid w:val="257965F6"/>
    <w:rsid w:val="257A48AA"/>
    <w:rsid w:val="259B03CD"/>
    <w:rsid w:val="27B06FC0"/>
    <w:rsid w:val="28A54C15"/>
    <w:rsid w:val="28AE3B89"/>
    <w:rsid w:val="28C34A20"/>
    <w:rsid w:val="28EE2F0B"/>
    <w:rsid w:val="294A6CDE"/>
    <w:rsid w:val="296D1FAD"/>
    <w:rsid w:val="29D625A3"/>
    <w:rsid w:val="2B824863"/>
    <w:rsid w:val="2BBE6D1B"/>
    <w:rsid w:val="2C1D1770"/>
    <w:rsid w:val="2C3B4D93"/>
    <w:rsid w:val="2C612302"/>
    <w:rsid w:val="2D2E0955"/>
    <w:rsid w:val="2E953790"/>
    <w:rsid w:val="2EAB1FC8"/>
    <w:rsid w:val="2EC97183"/>
    <w:rsid w:val="2EDE0864"/>
    <w:rsid w:val="2EE87995"/>
    <w:rsid w:val="2F214D9A"/>
    <w:rsid w:val="2F7B3197"/>
    <w:rsid w:val="30684B33"/>
    <w:rsid w:val="30762D47"/>
    <w:rsid w:val="30B862B1"/>
    <w:rsid w:val="30D22C16"/>
    <w:rsid w:val="31004930"/>
    <w:rsid w:val="325D41F6"/>
    <w:rsid w:val="32F42374"/>
    <w:rsid w:val="3339699D"/>
    <w:rsid w:val="336159D4"/>
    <w:rsid w:val="33823CC8"/>
    <w:rsid w:val="338E1474"/>
    <w:rsid w:val="33D715E2"/>
    <w:rsid w:val="34102CAB"/>
    <w:rsid w:val="34575F9D"/>
    <w:rsid w:val="352A531A"/>
    <w:rsid w:val="3563038C"/>
    <w:rsid w:val="35A24418"/>
    <w:rsid w:val="36361756"/>
    <w:rsid w:val="36B12E24"/>
    <w:rsid w:val="372618B2"/>
    <w:rsid w:val="3790488D"/>
    <w:rsid w:val="38032904"/>
    <w:rsid w:val="38412A0D"/>
    <w:rsid w:val="387C0DC3"/>
    <w:rsid w:val="38C3146E"/>
    <w:rsid w:val="3938118D"/>
    <w:rsid w:val="39846138"/>
    <w:rsid w:val="39C424A6"/>
    <w:rsid w:val="3A0D3964"/>
    <w:rsid w:val="3A905C8A"/>
    <w:rsid w:val="3AA97BD5"/>
    <w:rsid w:val="3AD16E9D"/>
    <w:rsid w:val="3B6E698C"/>
    <w:rsid w:val="3B821ECF"/>
    <w:rsid w:val="3B895446"/>
    <w:rsid w:val="3B9F07E0"/>
    <w:rsid w:val="3BEF0F37"/>
    <w:rsid w:val="3C3A66B3"/>
    <w:rsid w:val="3C616320"/>
    <w:rsid w:val="3D0F1DB5"/>
    <w:rsid w:val="3D356591"/>
    <w:rsid w:val="3D3B1C70"/>
    <w:rsid w:val="3DDB152F"/>
    <w:rsid w:val="3DE34686"/>
    <w:rsid w:val="3DE36D4D"/>
    <w:rsid w:val="3E6C4585"/>
    <w:rsid w:val="3EB53C19"/>
    <w:rsid w:val="3EB613C9"/>
    <w:rsid w:val="3F1F5972"/>
    <w:rsid w:val="3F782D07"/>
    <w:rsid w:val="3FE7411C"/>
    <w:rsid w:val="3FEE3EAF"/>
    <w:rsid w:val="402473E1"/>
    <w:rsid w:val="4100147B"/>
    <w:rsid w:val="41A65975"/>
    <w:rsid w:val="41BA6DED"/>
    <w:rsid w:val="41D8520D"/>
    <w:rsid w:val="41DD478D"/>
    <w:rsid w:val="426E143A"/>
    <w:rsid w:val="427E7607"/>
    <w:rsid w:val="427F791B"/>
    <w:rsid w:val="42B336E2"/>
    <w:rsid w:val="42E729CF"/>
    <w:rsid w:val="42EB4309"/>
    <w:rsid w:val="42ED1A99"/>
    <w:rsid w:val="430E43A0"/>
    <w:rsid w:val="436E08E0"/>
    <w:rsid w:val="4379691B"/>
    <w:rsid w:val="43935DBD"/>
    <w:rsid w:val="439722B1"/>
    <w:rsid w:val="44125C49"/>
    <w:rsid w:val="446216FA"/>
    <w:rsid w:val="44667944"/>
    <w:rsid w:val="44B10F95"/>
    <w:rsid w:val="44CF0CF9"/>
    <w:rsid w:val="44F57319"/>
    <w:rsid w:val="454F02E3"/>
    <w:rsid w:val="45614956"/>
    <w:rsid w:val="456726F0"/>
    <w:rsid w:val="45D8799F"/>
    <w:rsid w:val="46515D9B"/>
    <w:rsid w:val="469D1530"/>
    <w:rsid w:val="47131E73"/>
    <w:rsid w:val="474867D2"/>
    <w:rsid w:val="480D2955"/>
    <w:rsid w:val="489E4AC9"/>
    <w:rsid w:val="48C75E31"/>
    <w:rsid w:val="48EE7BED"/>
    <w:rsid w:val="49261F11"/>
    <w:rsid w:val="49593FDF"/>
    <w:rsid w:val="49CD21AD"/>
    <w:rsid w:val="4A05300F"/>
    <w:rsid w:val="4A4C47F2"/>
    <w:rsid w:val="4A867813"/>
    <w:rsid w:val="4AB57D0F"/>
    <w:rsid w:val="4B7E615F"/>
    <w:rsid w:val="4C08117B"/>
    <w:rsid w:val="4C240528"/>
    <w:rsid w:val="4C2A41EB"/>
    <w:rsid w:val="4CED4D04"/>
    <w:rsid w:val="4DBD0DB2"/>
    <w:rsid w:val="4DE14868"/>
    <w:rsid w:val="4E9E5C2E"/>
    <w:rsid w:val="4F2A5F90"/>
    <w:rsid w:val="4F2D4885"/>
    <w:rsid w:val="4F9E6785"/>
    <w:rsid w:val="4FA44871"/>
    <w:rsid w:val="50412F81"/>
    <w:rsid w:val="5076138B"/>
    <w:rsid w:val="511D4BF2"/>
    <w:rsid w:val="515F4D2C"/>
    <w:rsid w:val="5197676D"/>
    <w:rsid w:val="52152B39"/>
    <w:rsid w:val="523836E8"/>
    <w:rsid w:val="523D104F"/>
    <w:rsid w:val="52452C22"/>
    <w:rsid w:val="529A5D2C"/>
    <w:rsid w:val="52B80821"/>
    <w:rsid w:val="52BA57A0"/>
    <w:rsid w:val="52C818A8"/>
    <w:rsid w:val="52CD5B98"/>
    <w:rsid w:val="52F07EB9"/>
    <w:rsid w:val="5328467E"/>
    <w:rsid w:val="532E5569"/>
    <w:rsid w:val="534D1854"/>
    <w:rsid w:val="53EB1115"/>
    <w:rsid w:val="5442192E"/>
    <w:rsid w:val="548964DF"/>
    <w:rsid w:val="54C539EE"/>
    <w:rsid w:val="54DD6D37"/>
    <w:rsid w:val="555E1397"/>
    <w:rsid w:val="55AB67DF"/>
    <w:rsid w:val="561D0AC3"/>
    <w:rsid w:val="56592E41"/>
    <w:rsid w:val="566A00AD"/>
    <w:rsid w:val="57087E87"/>
    <w:rsid w:val="573D45FF"/>
    <w:rsid w:val="57510FC2"/>
    <w:rsid w:val="575B1A1A"/>
    <w:rsid w:val="577874D7"/>
    <w:rsid w:val="580A7841"/>
    <w:rsid w:val="582020AF"/>
    <w:rsid w:val="586A7F6E"/>
    <w:rsid w:val="588D34B5"/>
    <w:rsid w:val="58BA500E"/>
    <w:rsid w:val="58FA5365"/>
    <w:rsid w:val="59080F58"/>
    <w:rsid w:val="59A85CFF"/>
    <w:rsid w:val="59B715CF"/>
    <w:rsid w:val="59D32AE1"/>
    <w:rsid w:val="59FF7790"/>
    <w:rsid w:val="5A051CCE"/>
    <w:rsid w:val="5A1B1861"/>
    <w:rsid w:val="5A8F311C"/>
    <w:rsid w:val="5AAE0ADE"/>
    <w:rsid w:val="5ADD4E1B"/>
    <w:rsid w:val="5B9923A0"/>
    <w:rsid w:val="5C140FB9"/>
    <w:rsid w:val="5C635BE0"/>
    <w:rsid w:val="5CCB38DB"/>
    <w:rsid w:val="5DF372EB"/>
    <w:rsid w:val="5DF965D2"/>
    <w:rsid w:val="5E6228C4"/>
    <w:rsid w:val="5E637990"/>
    <w:rsid w:val="5EA04FDE"/>
    <w:rsid w:val="5F0D6356"/>
    <w:rsid w:val="5F652B19"/>
    <w:rsid w:val="5FC03B1F"/>
    <w:rsid w:val="5FDD519B"/>
    <w:rsid w:val="5FF803BF"/>
    <w:rsid w:val="60630C31"/>
    <w:rsid w:val="60BC092F"/>
    <w:rsid w:val="60D57B04"/>
    <w:rsid w:val="60EA1377"/>
    <w:rsid w:val="61091F87"/>
    <w:rsid w:val="61442A83"/>
    <w:rsid w:val="61A274BD"/>
    <w:rsid w:val="61BA68D1"/>
    <w:rsid w:val="61C2795F"/>
    <w:rsid w:val="61EC6E1E"/>
    <w:rsid w:val="62101B10"/>
    <w:rsid w:val="627F34DF"/>
    <w:rsid w:val="634C1A77"/>
    <w:rsid w:val="63905323"/>
    <w:rsid w:val="63A04E38"/>
    <w:rsid w:val="63FE0ED7"/>
    <w:rsid w:val="64397A64"/>
    <w:rsid w:val="64504469"/>
    <w:rsid w:val="64C17985"/>
    <w:rsid w:val="65BB0335"/>
    <w:rsid w:val="65BC58F2"/>
    <w:rsid w:val="65E447C2"/>
    <w:rsid w:val="65E86709"/>
    <w:rsid w:val="664F3A0F"/>
    <w:rsid w:val="66721DB5"/>
    <w:rsid w:val="668C5DD5"/>
    <w:rsid w:val="66AD0AF7"/>
    <w:rsid w:val="66B57962"/>
    <w:rsid w:val="672D1549"/>
    <w:rsid w:val="674351DD"/>
    <w:rsid w:val="67C96C94"/>
    <w:rsid w:val="67CD4B99"/>
    <w:rsid w:val="68465764"/>
    <w:rsid w:val="684C49F7"/>
    <w:rsid w:val="692528CC"/>
    <w:rsid w:val="698E7BC0"/>
    <w:rsid w:val="69C1121A"/>
    <w:rsid w:val="69EC1033"/>
    <w:rsid w:val="69F87F58"/>
    <w:rsid w:val="6A104C8E"/>
    <w:rsid w:val="6A774F25"/>
    <w:rsid w:val="6A943F4B"/>
    <w:rsid w:val="6ACE4CD6"/>
    <w:rsid w:val="6ADD7329"/>
    <w:rsid w:val="6B250A9C"/>
    <w:rsid w:val="6BD84A1A"/>
    <w:rsid w:val="6C3F67E5"/>
    <w:rsid w:val="6C6A7171"/>
    <w:rsid w:val="6C953D6D"/>
    <w:rsid w:val="6CC3159E"/>
    <w:rsid w:val="6CD82220"/>
    <w:rsid w:val="6CFA2DE3"/>
    <w:rsid w:val="6D034094"/>
    <w:rsid w:val="6D2656A5"/>
    <w:rsid w:val="6D837202"/>
    <w:rsid w:val="6DB445BF"/>
    <w:rsid w:val="6E4B0C1B"/>
    <w:rsid w:val="6E5734CE"/>
    <w:rsid w:val="6F1E6CC5"/>
    <w:rsid w:val="6F351CBE"/>
    <w:rsid w:val="6F3F5136"/>
    <w:rsid w:val="6F467FCD"/>
    <w:rsid w:val="6F514297"/>
    <w:rsid w:val="70627152"/>
    <w:rsid w:val="70911DCB"/>
    <w:rsid w:val="70A541FD"/>
    <w:rsid w:val="71424471"/>
    <w:rsid w:val="717D5C73"/>
    <w:rsid w:val="719B1F6D"/>
    <w:rsid w:val="71AE19D3"/>
    <w:rsid w:val="725530F6"/>
    <w:rsid w:val="726056F6"/>
    <w:rsid w:val="726C53CA"/>
    <w:rsid w:val="73075060"/>
    <w:rsid w:val="73176698"/>
    <w:rsid w:val="737A571A"/>
    <w:rsid w:val="737F4C01"/>
    <w:rsid w:val="740F178F"/>
    <w:rsid w:val="741D3866"/>
    <w:rsid w:val="743D738D"/>
    <w:rsid w:val="755418C8"/>
    <w:rsid w:val="75AD5B17"/>
    <w:rsid w:val="75C9253A"/>
    <w:rsid w:val="76B05731"/>
    <w:rsid w:val="76C95CE1"/>
    <w:rsid w:val="76D72416"/>
    <w:rsid w:val="76E3389A"/>
    <w:rsid w:val="76EF4CB4"/>
    <w:rsid w:val="77183909"/>
    <w:rsid w:val="77266CF3"/>
    <w:rsid w:val="77846D70"/>
    <w:rsid w:val="77C44DF6"/>
    <w:rsid w:val="77D82FB4"/>
    <w:rsid w:val="786C1E56"/>
    <w:rsid w:val="78FA2D20"/>
    <w:rsid w:val="791C0EA8"/>
    <w:rsid w:val="7936696A"/>
    <w:rsid w:val="79832926"/>
    <w:rsid w:val="79A5450E"/>
    <w:rsid w:val="79DC0F31"/>
    <w:rsid w:val="7A0842F9"/>
    <w:rsid w:val="7A4D7073"/>
    <w:rsid w:val="7A8A1D17"/>
    <w:rsid w:val="7A972063"/>
    <w:rsid w:val="7A9814B1"/>
    <w:rsid w:val="7B950A60"/>
    <w:rsid w:val="7BA11006"/>
    <w:rsid w:val="7BE16D8C"/>
    <w:rsid w:val="7C1C209A"/>
    <w:rsid w:val="7C20286D"/>
    <w:rsid w:val="7CA771C1"/>
    <w:rsid w:val="7CD24A52"/>
    <w:rsid w:val="7D4B284C"/>
    <w:rsid w:val="7DE76A9E"/>
    <w:rsid w:val="7E1D385C"/>
    <w:rsid w:val="7E34324A"/>
    <w:rsid w:val="7E8F58A2"/>
    <w:rsid w:val="7F60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Calibri" w:hAnsi="Calibri" w:eastAsia="仿宋" w:cs="Times New Roman"/>
      <w:kern w:val="2"/>
      <w:sz w:val="30"/>
      <w:szCs w:val="24"/>
      <w:lang w:val="en-US" w:eastAsia="zh-CN" w:bidi="ar-SA"/>
    </w:rPr>
  </w:style>
  <w:style w:type="paragraph" w:styleId="2">
    <w:name w:val="heading 1"/>
    <w:next w:val="1"/>
    <w:link w:val="42"/>
    <w:qFormat/>
    <w:uiPriority w:val="9"/>
    <w:pPr>
      <w:keepNext/>
      <w:keepLines/>
      <w:spacing w:after="160" w:line="560" w:lineRule="exact"/>
      <w:jc w:val="center"/>
      <w:outlineLvl w:val="0"/>
    </w:pPr>
    <w:rPr>
      <w:rFonts w:ascii="Arial" w:hAnsi="Arial" w:eastAsia="仿宋" w:cs="Times New Roman"/>
      <w:b/>
      <w:kern w:val="44"/>
      <w:sz w:val="44"/>
      <w:lang w:val="en-US" w:eastAsia="zh-CN" w:bidi="ar-SA"/>
    </w:rPr>
  </w:style>
  <w:style w:type="paragraph" w:styleId="3">
    <w:name w:val="heading 2"/>
    <w:basedOn w:val="1"/>
    <w:next w:val="1"/>
    <w:link w:val="49"/>
    <w:qFormat/>
    <w:uiPriority w:val="9"/>
    <w:pPr>
      <w:keepNext/>
      <w:keepLines/>
      <w:outlineLvl w:val="1"/>
    </w:pPr>
    <w:rPr>
      <w:rFonts w:ascii="Arial" w:hAnsi="Arial" w:eastAsia="黑体"/>
    </w:rPr>
  </w:style>
  <w:style w:type="paragraph" w:styleId="4">
    <w:name w:val="heading 3"/>
    <w:basedOn w:val="1"/>
    <w:next w:val="1"/>
    <w:qFormat/>
    <w:uiPriority w:val="9"/>
    <w:pPr>
      <w:keepNext/>
      <w:keepLines/>
      <w:outlineLvl w:val="2"/>
    </w:pPr>
    <w:rPr>
      <w:rFonts w:eastAsia="楷体"/>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0"/>
    <w:unhideWhenUsed/>
    <w:qFormat/>
    <w:uiPriority w:val="99"/>
    <w:pPr>
      <w:jc w:val="left"/>
    </w:pPr>
  </w:style>
  <w:style w:type="paragraph" w:styleId="6">
    <w:name w:val="Body Text"/>
    <w:basedOn w:val="1"/>
    <w:qFormat/>
    <w:uiPriority w:val="0"/>
    <w:rPr>
      <w:rFonts w:ascii="宋体"/>
      <w:color w:val="000000"/>
      <w:sz w:val="24"/>
      <w:szCs w:val="20"/>
    </w:rPr>
  </w:style>
  <w:style w:type="paragraph" w:styleId="7">
    <w:name w:val="Body Text Indent"/>
    <w:basedOn w:val="1"/>
    <w:qFormat/>
    <w:uiPriority w:val="0"/>
    <w:pPr>
      <w:ind w:firstLine="510"/>
    </w:pPr>
    <w:rPr>
      <w:rFonts w:ascii="宋体"/>
      <w:sz w:val="24"/>
      <w:szCs w:val="20"/>
    </w:rPr>
  </w:style>
  <w:style w:type="paragraph" w:styleId="8">
    <w:name w:val="Block Text"/>
    <w:basedOn w:val="1"/>
    <w:qFormat/>
    <w:uiPriority w:val="0"/>
    <w:pPr>
      <w:spacing w:line="320" w:lineRule="exact"/>
      <w:ind w:left="92" w:leftChars="44" w:right="153" w:firstLine="496"/>
    </w:pPr>
    <w:rPr>
      <w:rFonts w:eastAsia="仿宋_GB2312"/>
      <w:spacing w:val="4"/>
      <w:sz w:val="24"/>
      <w:szCs w:val="20"/>
      <w:u w:val="single"/>
    </w:rPr>
  </w:style>
  <w:style w:type="paragraph" w:styleId="9">
    <w:name w:val="toc 3"/>
    <w:basedOn w:val="1"/>
    <w:next w:val="1"/>
    <w:unhideWhenUsed/>
    <w:qFormat/>
    <w:uiPriority w:val="39"/>
    <w:pPr>
      <w:widowControl/>
      <w:spacing w:after="100" w:line="276" w:lineRule="auto"/>
      <w:ind w:left="440" w:firstLine="0" w:firstLineChars="0"/>
      <w:jc w:val="left"/>
    </w:pPr>
    <w:rPr>
      <w:rFonts w:asciiTheme="minorHAnsi" w:hAnsiTheme="minorHAnsi" w:eastAsiaTheme="minorEastAsia" w:cstheme="minorBidi"/>
      <w:kern w:val="0"/>
      <w:sz w:val="22"/>
      <w:szCs w:val="22"/>
    </w:rPr>
  </w:style>
  <w:style w:type="paragraph" w:styleId="10">
    <w:name w:val="Date"/>
    <w:basedOn w:val="1"/>
    <w:next w:val="1"/>
    <w:qFormat/>
    <w:uiPriority w:val="0"/>
    <w:pPr>
      <w:ind w:left="100" w:leftChars="2500"/>
    </w:pPr>
  </w:style>
  <w:style w:type="paragraph" w:styleId="11">
    <w:name w:val="Balloon Text"/>
    <w:basedOn w:val="1"/>
    <w:link w:val="33"/>
    <w:qFormat/>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style>
  <w:style w:type="paragraph" w:styleId="15">
    <w:name w:val="Body Text Indent 3"/>
    <w:basedOn w:val="1"/>
    <w:qFormat/>
    <w:uiPriority w:val="0"/>
    <w:pPr>
      <w:snapToGrid w:val="0"/>
      <w:spacing w:line="500" w:lineRule="exact"/>
      <w:ind w:right="15" w:firstLine="523" w:firstLineChars="211"/>
    </w:pPr>
    <w:rPr>
      <w:rFonts w:eastAsia="仿宋_GB2312"/>
      <w:spacing w:val="4"/>
      <w:sz w:val="24"/>
    </w:rPr>
  </w:style>
  <w:style w:type="paragraph" w:styleId="16">
    <w:name w:val="toc 2"/>
    <w:basedOn w:val="1"/>
    <w:next w:val="1"/>
    <w:unhideWhenUsed/>
    <w:qFormat/>
    <w:uiPriority w:val="39"/>
    <w:pPr>
      <w:ind w:left="420" w:leftChars="200"/>
    </w:pPr>
  </w:style>
  <w:style w:type="paragraph" w:styleId="17">
    <w:name w:val="Body Text 2"/>
    <w:basedOn w:val="1"/>
    <w:qFormat/>
    <w:uiPriority w:val="0"/>
    <w:pPr>
      <w:snapToGrid w:val="0"/>
      <w:spacing w:line="560" w:lineRule="atLeast"/>
      <w:ind w:right="15"/>
    </w:pPr>
    <w:rPr>
      <w:bCs/>
      <w:spacing w:val="4"/>
      <w:sz w:val="24"/>
      <w:szCs w:val="20"/>
    </w:rPr>
  </w:style>
  <w:style w:type="paragraph" w:styleId="18">
    <w:name w:val="Title"/>
    <w:basedOn w:val="1"/>
    <w:qFormat/>
    <w:uiPriority w:val="10"/>
    <w:pPr>
      <w:spacing w:before="240" w:after="60"/>
      <w:jc w:val="center"/>
      <w:outlineLvl w:val="0"/>
    </w:pPr>
    <w:rPr>
      <w:rFonts w:ascii="Arial" w:hAnsi="Arial"/>
      <w:b/>
      <w:sz w:val="32"/>
    </w:rPr>
  </w:style>
  <w:style w:type="paragraph" w:styleId="19">
    <w:name w:val="annotation subject"/>
    <w:basedOn w:val="5"/>
    <w:next w:val="5"/>
    <w:link w:val="31"/>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Emphasis"/>
    <w:qFormat/>
    <w:uiPriority w:val="20"/>
    <w:rPr>
      <w:i/>
      <w:iCs/>
    </w:rPr>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paragraph" w:customStyle="1" w:styleId="27">
    <w:name w:val="Default"/>
    <w:qFormat/>
    <w:uiPriority w:val="99"/>
    <w:pPr>
      <w:widowControl w:val="0"/>
      <w:autoSpaceDE w:val="0"/>
      <w:autoSpaceDN w:val="0"/>
      <w:adjustRightInd w:val="0"/>
    </w:pPr>
    <w:rPr>
      <w:rFonts w:ascii="方正仿宋简体" w:hAnsi="方正仿宋简体" w:eastAsia="方正仿宋简体" w:cs="方正仿宋简体"/>
      <w:color w:val="000000"/>
      <w:sz w:val="24"/>
      <w:szCs w:val="24"/>
      <w:lang w:val="en-US" w:eastAsia="zh-CN" w:bidi="ar-SA"/>
    </w:rPr>
  </w:style>
  <w:style w:type="character" w:customStyle="1" w:styleId="28">
    <w:name w:val="标题 2 字符"/>
    <w:link w:val="3"/>
    <w:qFormat/>
    <w:uiPriority w:val="9"/>
    <w:rPr>
      <w:rFonts w:ascii="Arial" w:hAnsi="Arial" w:eastAsia="黑体"/>
      <w:sz w:val="30"/>
    </w:rPr>
  </w:style>
  <w:style w:type="character" w:customStyle="1" w:styleId="29">
    <w:name w:val="页脚 字符1"/>
    <w:link w:val="12"/>
    <w:qFormat/>
    <w:uiPriority w:val="99"/>
    <w:rPr>
      <w:kern w:val="2"/>
      <w:sz w:val="18"/>
      <w:szCs w:val="18"/>
    </w:rPr>
  </w:style>
  <w:style w:type="character" w:customStyle="1" w:styleId="30">
    <w:name w:val="批注文字 字符"/>
    <w:link w:val="5"/>
    <w:semiHidden/>
    <w:qFormat/>
    <w:uiPriority w:val="99"/>
    <w:rPr>
      <w:kern w:val="2"/>
      <w:sz w:val="21"/>
      <w:szCs w:val="24"/>
    </w:rPr>
  </w:style>
  <w:style w:type="character" w:customStyle="1" w:styleId="31">
    <w:name w:val="批注主题 字符"/>
    <w:link w:val="19"/>
    <w:semiHidden/>
    <w:qFormat/>
    <w:uiPriority w:val="99"/>
    <w:rPr>
      <w:b/>
      <w:bCs/>
      <w:kern w:val="2"/>
      <w:sz w:val="21"/>
      <w:szCs w:val="24"/>
    </w:rPr>
  </w:style>
  <w:style w:type="character" w:customStyle="1" w:styleId="32">
    <w:name w:val="页眉 字符"/>
    <w:link w:val="13"/>
    <w:qFormat/>
    <w:uiPriority w:val="99"/>
    <w:rPr>
      <w:kern w:val="2"/>
      <w:sz w:val="18"/>
    </w:rPr>
  </w:style>
  <w:style w:type="character" w:customStyle="1" w:styleId="33">
    <w:name w:val="批注框文本 字符"/>
    <w:link w:val="11"/>
    <w:qFormat/>
    <w:uiPriority w:val="0"/>
    <w:rPr>
      <w:kern w:val="2"/>
      <w:sz w:val="18"/>
      <w:szCs w:val="18"/>
    </w:rPr>
  </w:style>
  <w:style w:type="paragraph" w:customStyle="1" w:styleId="34">
    <w:name w:val="目录 11"/>
    <w:basedOn w:val="1"/>
    <w:next w:val="1"/>
    <w:unhideWhenUsed/>
    <w:qFormat/>
    <w:uiPriority w:val="39"/>
  </w:style>
  <w:style w:type="paragraph" w:customStyle="1" w:styleId="35">
    <w:name w:val="目录 31"/>
    <w:basedOn w:val="1"/>
    <w:next w:val="1"/>
    <w:unhideWhenUsed/>
    <w:qFormat/>
    <w:uiPriority w:val="39"/>
    <w:pPr>
      <w:ind w:left="840" w:leftChars="400"/>
    </w:pPr>
  </w:style>
  <w:style w:type="paragraph" w:customStyle="1" w:styleId="36">
    <w:name w:val="目录 21"/>
    <w:basedOn w:val="1"/>
    <w:next w:val="1"/>
    <w:unhideWhenUsed/>
    <w:qFormat/>
    <w:uiPriority w:val="39"/>
    <w:pPr>
      <w:ind w:left="420" w:leftChars="200"/>
      <w:jc w:val="left"/>
    </w:pPr>
  </w:style>
  <w:style w:type="paragraph" w:customStyle="1" w:styleId="37">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8">
    <w:name w:val="列出段落1"/>
    <w:basedOn w:val="1"/>
    <w:qFormat/>
    <w:uiPriority w:val="34"/>
    <w:pPr>
      <w:widowControl/>
      <w:ind w:firstLine="420"/>
      <w:jc w:val="left"/>
    </w:pPr>
    <w:rPr>
      <w:rFonts w:ascii="宋体" w:hAnsi="宋体" w:cs="宋体"/>
      <w:kern w:val="0"/>
      <w:sz w:val="24"/>
    </w:rPr>
  </w:style>
  <w:style w:type="paragraph" w:customStyle="1" w:styleId="39">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0">
    <w:name w:val="font5"/>
    <w:basedOn w:val="1"/>
    <w:qFormat/>
    <w:uiPriority w:val="0"/>
    <w:pPr>
      <w:widowControl/>
      <w:spacing w:before="100" w:beforeAutospacing="1" w:after="100" w:afterAutospacing="1"/>
      <w:jc w:val="left"/>
    </w:pPr>
    <w:rPr>
      <w:kern w:val="0"/>
      <w:szCs w:val="21"/>
    </w:rPr>
  </w:style>
  <w:style w:type="character" w:customStyle="1" w:styleId="41">
    <w:name w:val="页脚 字符"/>
    <w:basedOn w:val="22"/>
    <w:qFormat/>
    <w:uiPriority w:val="99"/>
  </w:style>
  <w:style w:type="character" w:customStyle="1" w:styleId="42">
    <w:name w:val="标题 1 字符"/>
    <w:link w:val="2"/>
    <w:qFormat/>
    <w:uiPriority w:val="9"/>
    <w:rPr>
      <w:rFonts w:ascii="Arial" w:hAnsi="Arial" w:eastAsia="仿宋" w:cs="Times New Roman"/>
      <w:b/>
      <w:kern w:val="44"/>
      <w:sz w:val="44"/>
      <w:lang w:val="en-US" w:eastAsia="zh-CN" w:bidi="ar-SA"/>
    </w:rPr>
  </w:style>
  <w:style w:type="paragraph" w:styleId="43">
    <w:name w:val="List Paragraph"/>
    <w:basedOn w:val="1"/>
    <w:qFormat/>
    <w:uiPriority w:val="99"/>
    <w:pPr>
      <w:ind w:firstLine="420"/>
    </w:pPr>
  </w:style>
  <w:style w:type="character" w:customStyle="1" w:styleId="44">
    <w:name w:val="info1"/>
    <w:qFormat/>
    <w:uiPriority w:val="0"/>
    <w:rPr>
      <w:rFonts w:cs="Times New Roman"/>
      <w:sz w:val="29"/>
      <w:szCs w:val="29"/>
    </w:rPr>
  </w:style>
  <w:style w:type="paragraph" w:customStyle="1" w:styleId="45">
    <w:name w:val="TOC 标题1"/>
    <w:basedOn w:val="2"/>
    <w:next w:val="1"/>
    <w:unhideWhenUsed/>
    <w:qFormat/>
    <w:uiPriority w:val="39"/>
    <w:pPr>
      <w:spacing w:before="480" w:after="0" w:line="276" w:lineRule="auto"/>
      <w:jc w:val="left"/>
      <w:outlineLvl w:val="9"/>
    </w:pPr>
    <w:rPr>
      <w:rFonts w:asciiTheme="majorHAnsi" w:hAnsiTheme="majorHAnsi" w:eastAsiaTheme="majorEastAsia" w:cstheme="majorBidi"/>
      <w:bCs/>
      <w:color w:val="2F5496" w:themeColor="accent1" w:themeShade="BF"/>
      <w:kern w:val="0"/>
      <w:sz w:val="28"/>
      <w:szCs w:val="28"/>
    </w:rPr>
  </w:style>
  <w:style w:type="character" w:customStyle="1" w:styleId="46">
    <w:name w:val="NormalCharacter"/>
    <w:qFormat/>
    <w:uiPriority w:val="0"/>
  </w:style>
  <w:style w:type="paragraph" w:customStyle="1" w:styleId="47">
    <w:name w:val="BodyText"/>
    <w:basedOn w:val="1"/>
    <w:qFormat/>
    <w:uiPriority w:val="0"/>
    <w:pPr>
      <w:widowControl/>
      <w:spacing w:line="240" w:lineRule="auto"/>
      <w:ind w:left="611" w:firstLine="0" w:firstLineChars="0"/>
      <w:jc w:val="left"/>
      <w:textAlignment w:val="baseline"/>
    </w:pPr>
    <w:rPr>
      <w:rFonts w:ascii="仿宋" w:hAnsi="仿宋" w:cstheme="minorBidi"/>
      <w:kern w:val="0"/>
      <w:sz w:val="32"/>
      <w:szCs w:val="32"/>
      <w:lang w:val="zh-CN" w:bidi="zh-CN"/>
    </w:rPr>
  </w:style>
  <w:style w:type="table" w:customStyle="1" w:styleId="48">
    <w:name w:val="Table Normal"/>
    <w:autoRedefine/>
    <w:semiHidden/>
    <w:unhideWhenUsed/>
    <w:qFormat/>
    <w:uiPriority w:val="0"/>
    <w:tblPr>
      <w:tblCellMar>
        <w:top w:w="0" w:type="dxa"/>
        <w:left w:w="0" w:type="dxa"/>
        <w:bottom w:w="0" w:type="dxa"/>
        <w:right w:w="0" w:type="dxa"/>
      </w:tblCellMar>
    </w:tblPr>
  </w:style>
  <w:style w:type="character" w:customStyle="1" w:styleId="49">
    <w:name w:val="标题 2 Char"/>
    <w:link w:val="3"/>
    <w:qFormat/>
    <w:uiPriority w:val="9"/>
    <w:rPr>
      <w:rFonts w:ascii="Arial" w:hAnsi="Arial" w:eastAsia="黑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5"/>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FF410-074C-4750-949A-11378A12E22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11108</Words>
  <Characters>11468</Characters>
  <Lines>84</Lines>
  <Paragraphs>23</Paragraphs>
  <TotalTime>8</TotalTime>
  <ScaleCrop>false</ScaleCrop>
  <LinksUpToDate>false</LinksUpToDate>
  <CharactersWithSpaces>11803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2020-05-18T00:55:00Z</dcterms:created>
  <dc:creator>Administrator</dc:creator>
  <cp:lastModifiedBy>企业用户_449921270</cp:lastModifiedBy>
  <cp:lastPrinted>2022-12-07T09:12:00Z</cp:lastPrinted>
  <dcterms:modified xsi:type="dcterms:W3CDTF">2024-09-30T07:48:15Z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060E0A01BCAE4403953E83ACC1057B6B_12</vt:lpwstr>
  </property>
</Properties>
</file>