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2AA6E">
      <w:pPr>
        <w:spacing w:line="720" w:lineRule="auto"/>
        <w:ind w:firstLine="880"/>
        <w:jc w:val="center"/>
        <w:rPr>
          <w:rFonts w:ascii="黑体" w:hAnsi="黑体" w:eastAsia="黑体"/>
          <w:sz w:val="44"/>
          <w:szCs w:val="40"/>
        </w:rPr>
      </w:pPr>
      <w:r>
        <w:rPr>
          <w:rFonts w:hint="eastAsia" w:ascii="黑体" w:hAnsi="黑体" w:eastAsia="黑体"/>
          <w:sz w:val="44"/>
          <w:szCs w:val="40"/>
        </w:rPr>
        <w:t>陕西省医疗保障信息平台</w:t>
      </w:r>
    </w:p>
    <w:p w14:paraId="04CF1067">
      <w:pPr>
        <w:spacing w:line="720" w:lineRule="auto"/>
        <w:ind w:firstLine="880"/>
        <w:jc w:val="center"/>
        <w:rPr>
          <w:rFonts w:ascii="黑体" w:hAnsi="黑体" w:eastAsia="黑体"/>
          <w:sz w:val="44"/>
          <w:szCs w:val="40"/>
        </w:rPr>
      </w:pPr>
      <w:r>
        <w:rPr>
          <w:rFonts w:hint="eastAsia" w:ascii="黑体" w:hAnsi="黑体" w:eastAsia="黑体"/>
          <w:sz w:val="44"/>
          <w:szCs w:val="40"/>
        </w:rPr>
        <w:t>药品和医用耗材招采管理子系统</w:t>
      </w:r>
    </w:p>
    <w:p w14:paraId="294C4CC3">
      <w:pPr>
        <w:spacing w:line="720" w:lineRule="auto"/>
        <w:ind w:firstLine="880"/>
        <w:jc w:val="center"/>
        <w:rPr>
          <w:rFonts w:ascii="黑体" w:hAnsi="黑体" w:eastAsia="黑体"/>
          <w:sz w:val="44"/>
          <w:szCs w:val="40"/>
        </w:rPr>
      </w:pPr>
      <w:r>
        <w:rPr>
          <w:rFonts w:hint="eastAsia" w:ascii="黑体" w:hAnsi="黑体" w:eastAsia="黑体"/>
          <w:sz w:val="44"/>
          <w:szCs w:val="40"/>
          <w:lang w:val="en-US" w:eastAsia="zh-CN"/>
        </w:rPr>
        <w:t>耗材</w:t>
      </w:r>
      <w:r>
        <w:rPr>
          <w:rFonts w:hint="eastAsia" w:ascii="黑体" w:hAnsi="黑体" w:eastAsia="黑体"/>
          <w:sz w:val="44"/>
          <w:szCs w:val="40"/>
        </w:rPr>
        <w:t>操作手册（生产企业）</w:t>
      </w:r>
    </w:p>
    <w:p w14:paraId="0181B7F6">
      <w:pPr>
        <w:ind w:firstLine="480"/>
      </w:pPr>
    </w:p>
    <w:p w14:paraId="746F78C7">
      <w:pPr>
        <w:ind w:firstLine="480"/>
      </w:pPr>
    </w:p>
    <w:p w14:paraId="33B5CECF">
      <w:pPr>
        <w:ind w:firstLine="480"/>
      </w:pPr>
    </w:p>
    <w:p w14:paraId="630AC849">
      <w:pPr>
        <w:ind w:firstLine="480"/>
      </w:pPr>
    </w:p>
    <w:p w14:paraId="3E155440">
      <w:pPr>
        <w:ind w:firstLine="480"/>
      </w:pPr>
    </w:p>
    <w:p w14:paraId="36602F1A">
      <w:pPr>
        <w:ind w:firstLine="480"/>
      </w:pPr>
    </w:p>
    <w:p w14:paraId="58819FD1">
      <w:pPr>
        <w:ind w:firstLine="480"/>
      </w:pPr>
    </w:p>
    <w:p w14:paraId="277483D1">
      <w:pPr>
        <w:ind w:firstLine="480"/>
      </w:pPr>
    </w:p>
    <w:p w14:paraId="3998EA44">
      <w:pPr>
        <w:ind w:firstLine="480"/>
      </w:pPr>
    </w:p>
    <w:p w14:paraId="0D5DB07B">
      <w:pPr>
        <w:ind w:firstLine="480"/>
      </w:pPr>
    </w:p>
    <w:p w14:paraId="2A228733">
      <w:pPr>
        <w:spacing w:before="156" w:after="156"/>
        <w:ind w:left="420" w:firstLine="480"/>
      </w:pPr>
    </w:p>
    <w:p w14:paraId="5F970152">
      <w:pPr>
        <w:spacing w:before="156" w:after="156"/>
        <w:ind w:left="420" w:firstLine="480"/>
      </w:pPr>
    </w:p>
    <w:p w14:paraId="395D8B0F">
      <w:pPr>
        <w:spacing w:before="156" w:after="156"/>
        <w:ind w:left="420" w:firstLine="480"/>
      </w:pPr>
    </w:p>
    <w:p w14:paraId="62156FE9">
      <w:pPr>
        <w:spacing w:before="156" w:after="156"/>
        <w:ind w:left="420" w:firstLine="600"/>
        <w:jc w:val="center"/>
        <w:rPr>
          <w:rFonts w:ascii="宋体" w:hAnsi="宋体"/>
          <w:sz w:val="30"/>
          <w:szCs w:val="30"/>
        </w:rPr>
      </w:pPr>
      <w:r>
        <w:rPr>
          <w:rFonts w:hint="eastAsia" w:ascii="宋体" w:hAnsi="宋体"/>
          <w:sz w:val="30"/>
          <w:szCs w:val="30"/>
        </w:rPr>
        <w:t>陕西省公共资源交易中心</w:t>
      </w:r>
    </w:p>
    <w:p w14:paraId="221B5505">
      <w:pPr>
        <w:spacing w:before="156" w:after="156"/>
        <w:ind w:left="420" w:firstLine="600"/>
        <w:jc w:val="center"/>
        <w:rPr>
          <w:rFonts w:ascii="宋体" w:hAnsi="宋体"/>
          <w:sz w:val="30"/>
          <w:szCs w:val="30"/>
        </w:rPr>
      </w:pPr>
      <w:r>
        <w:rPr>
          <w:rFonts w:hint="eastAsia" w:ascii="宋体" w:hAnsi="宋体"/>
          <w:sz w:val="30"/>
          <w:szCs w:val="30"/>
        </w:rPr>
        <w:t>贰零二</w:t>
      </w:r>
      <w:r>
        <w:rPr>
          <w:rFonts w:hint="eastAsia" w:ascii="宋体" w:hAnsi="宋体"/>
          <w:sz w:val="30"/>
          <w:szCs w:val="30"/>
          <w:lang w:val="en-US" w:eastAsia="zh-CN"/>
        </w:rPr>
        <w:t>四</w:t>
      </w:r>
      <w:r>
        <w:rPr>
          <w:rFonts w:hint="eastAsia" w:ascii="宋体" w:hAnsi="宋体"/>
          <w:sz w:val="30"/>
          <w:szCs w:val="30"/>
        </w:rPr>
        <w:t>年</w:t>
      </w:r>
      <w:r>
        <w:rPr>
          <w:rFonts w:hint="eastAsia" w:ascii="宋体" w:hAnsi="宋体"/>
          <w:sz w:val="30"/>
          <w:szCs w:val="30"/>
          <w:lang w:val="en-US" w:eastAsia="zh-CN"/>
        </w:rPr>
        <w:t>十</w:t>
      </w:r>
      <w:r>
        <w:rPr>
          <w:rFonts w:hint="eastAsia" w:ascii="宋体" w:hAnsi="宋体"/>
          <w:sz w:val="30"/>
          <w:szCs w:val="30"/>
        </w:rPr>
        <w:t>月</w:t>
      </w:r>
    </w:p>
    <w:p w14:paraId="338DF55F">
      <w:pPr>
        <w:spacing w:before="156" w:after="156"/>
        <w:ind w:left="420" w:firstLine="600"/>
        <w:jc w:val="center"/>
        <w:rPr>
          <w:rFonts w:ascii="宋体" w:hAnsi="宋体"/>
          <w:sz w:val="30"/>
          <w:szCs w:val="30"/>
        </w:rPr>
      </w:pPr>
      <w:r>
        <w:rPr>
          <w:rFonts w:ascii="宋体" w:hAnsi="宋体"/>
          <w:sz w:val="30"/>
          <w:szCs w:val="30"/>
        </w:rPr>
        <w:br w:type="page"/>
      </w:r>
    </w:p>
    <w:p w14:paraId="3200E9B7">
      <w:pPr>
        <w:spacing w:before="312" w:beforeLines="100" w:after="312" w:afterLines="100" w:line="480" w:lineRule="auto"/>
        <w:ind w:firstLine="5" w:firstLineChars="1"/>
        <w:jc w:val="center"/>
        <w:rPr>
          <w:rFonts w:ascii="黑体" w:hAnsi="黑体" w:eastAsia="黑体"/>
          <w:sz w:val="52"/>
          <w:szCs w:val="52"/>
        </w:rPr>
      </w:pPr>
      <w:r>
        <w:rPr>
          <w:rFonts w:hint="eastAsia" w:ascii="黑体" w:hAnsi="黑体" w:eastAsia="黑体"/>
          <w:sz w:val="52"/>
          <w:szCs w:val="52"/>
        </w:rPr>
        <w:t>欢迎使用</w:t>
      </w:r>
    </w:p>
    <w:p w14:paraId="1FF8F0A8">
      <w:pPr>
        <w:spacing w:before="312" w:beforeLines="100" w:after="312" w:afterLines="100"/>
        <w:ind w:firstLineChars="0"/>
        <w:jc w:val="center"/>
        <w:rPr>
          <w:rFonts w:ascii="黑体" w:hAnsi="黑体" w:eastAsia="黑体"/>
          <w:sz w:val="48"/>
          <w:szCs w:val="48"/>
        </w:rPr>
      </w:pPr>
      <w:r>
        <w:rPr>
          <w:rFonts w:hint="eastAsia" w:ascii="黑体" w:hAnsi="黑体" w:eastAsia="黑体"/>
          <w:sz w:val="48"/>
          <w:szCs w:val="48"/>
        </w:rPr>
        <w:t>陕西省医疗保障信息平台</w:t>
      </w:r>
    </w:p>
    <w:p w14:paraId="320F6F00">
      <w:pPr>
        <w:spacing w:before="312" w:beforeLines="100" w:after="312" w:afterLines="100"/>
        <w:ind w:firstLineChars="0"/>
        <w:jc w:val="center"/>
        <w:rPr>
          <w:rFonts w:ascii="黑体" w:hAnsi="黑体" w:eastAsia="黑体"/>
          <w:sz w:val="48"/>
          <w:szCs w:val="48"/>
        </w:rPr>
      </w:pPr>
      <w:r>
        <w:rPr>
          <w:rFonts w:hint="eastAsia" w:ascii="黑体" w:hAnsi="黑体" w:eastAsia="黑体"/>
          <w:sz w:val="48"/>
          <w:szCs w:val="48"/>
        </w:rPr>
        <w:t>药品和医用耗材招采管理子系统</w:t>
      </w:r>
    </w:p>
    <w:p w14:paraId="03DBE5E7">
      <w:pPr>
        <w:spacing w:before="156" w:after="156"/>
        <w:ind w:left="420" w:firstLine="600"/>
        <w:jc w:val="center"/>
        <w:rPr>
          <w:rFonts w:ascii="宋体" w:hAnsi="宋体"/>
          <w:sz w:val="30"/>
          <w:szCs w:val="30"/>
        </w:rPr>
      </w:pPr>
    </w:p>
    <w:p w14:paraId="3B2FFA7D">
      <w:pPr>
        <w:spacing w:before="156" w:after="156"/>
        <w:ind w:left="420" w:firstLine="600"/>
        <w:jc w:val="center"/>
        <w:rPr>
          <w:rFonts w:ascii="宋体" w:hAnsi="宋体"/>
          <w:sz w:val="30"/>
          <w:szCs w:val="30"/>
        </w:rPr>
      </w:pPr>
    </w:p>
    <w:p w14:paraId="65FF404C">
      <w:pPr>
        <w:spacing w:before="156" w:after="156"/>
        <w:ind w:left="420" w:firstLine="600"/>
        <w:jc w:val="center"/>
        <w:rPr>
          <w:rFonts w:ascii="宋体" w:hAnsi="宋体"/>
          <w:sz w:val="30"/>
          <w:szCs w:val="30"/>
        </w:rPr>
      </w:pPr>
    </w:p>
    <w:p w14:paraId="5DA83F5E">
      <w:pPr>
        <w:spacing w:before="156" w:after="156"/>
        <w:ind w:left="420" w:firstLine="600"/>
        <w:jc w:val="center"/>
        <w:rPr>
          <w:rFonts w:ascii="宋体" w:hAnsi="宋体"/>
          <w:sz w:val="30"/>
          <w:szCs w:val="30"/>
        </w:rPr>
      </w:pPr>
    </w:p>
    <w:p w14:paraId="378D715A">
      <w:pPr>
        <w:spacing w:before="156" w:after="156"/>
        <w:ind w:left="420" w:firstLine="600"/>
        <w:jc w:val="center"/>
        <w:rPr>
          <w:rFonts w:ascii="宋体" w:hAnsi="宋体"/>
          <w:sz w:val="30"/>
          <w:szCs w:val="30"/>
        </w:rPr>
      </w:pPr>
    </w:p>
    <w:p w14:paraId="4D0341B4">
      <w:pPr>
        <w:spacing w:before="156" w:after="156"/>
        <w:ind w:left="420" w:firstLine="600"/>
        <w:jc w:val="center"/>
        <w:rPr>
          <w:rFonts w:ascii="宋体" w:hAnsi="宋体"/>
          <w:sz w:val="30"/>
          <w:szCs w:val="30"/>
        </w:rPr>
      </w:pPr>
    </w:p>
    <w:p w14:paraId="7A6DC3C8">
      <w:pPr>
        <w:spacing w:before="156" w:after="156"/>
        <w:ind w:left="420" w:firstLine="600"/>
        <w:jc w:val="center"/>
        <w:rPr>
          <w:rFonts w:ascii="宋体" w:hAnsi="宋体"/>
          <w:sz w:val="30"/>
          <w:szCs w:val="30"/>
        </w:rPr>
      </w:pPr>
    </w:p>
    <w:p w14:paraId="7CE120F7">
      <w:pPr>
        <w:spacing w:before="156" w:after="156"/>
        <w:ind w:left="420" w:firstLine="600"/>
        <w:jc w:val="center"/>
        <w:rPr>
          <w:rFonts w:ascii="宋体" w:hAnsi="宋体"/>
          <w:sz w:val="30"/>
          <w:szCs w:val="30"/>
        </w:rPr>
      </w:pPr>
    </w:p>
    <w:p w14:paraId="3B122441">
      <w:pPr>
        <w:spacing w:before="156" w:after="156"/>
        <w:ind w:left="420" w:firstLine="600"/>
        <w:jc w:val="center"/>
        <w:rPr>
          <w:rFonts w:ascii="宋体" w:hAnsi="宋体"/>
          <w:sz w:val="30"/>
          <w:szCs w:val="30"/>
        </w:rPr>
      </w:pPr>
    </w:p>
    <w:p w14:paraId="72D96666">
      <w:pPr>
        <w:spacing w:before="156" w:after="156"/>
        <w:ind w:left="420" w:firstLine="600"/>
        <w:jc w:val="center"/>
        <w:rPr>
          <w:rFonts w:ascii="宋体" w:hAnsi="宋体"/>
          <w:sz w:val="30"/>
          <w:szCs w:val="30"/>
        </w:rPr>
      </w:pPr>
    </w:p>
    <w:p w14:paraId="70E551EB">
      <w:pPr>
        <w:spacing w:before="156" w:after="156"/>
        <w:ind w:firstLine="480"/>
      </w:pPr>
      <w:bookmarkStart w:id="0" w:name="_Toc428124240"/>
      <w:bookmarkStart w:id="1" w:name="_Toc428344568"/>
      <w:bookmarkStart w:id="2" w:name="_Toc246739487"/>
      <w:bookmarkStart w:id="3" w:name="_Toc248638615"/>
      <w:bookmarkStart w:id="4" w:name="_Toc233189553"/>
      <w:r>
        <w:rPr>
          <w:rFonts w:hint="eastAsia"/>
        </w:rPr>
        <w:t>关于本用户手册</w:t>
      </w:r>
      <w:bookmarkEnd w:id="0"/>
      <w:bookmarkEnd w:id="1"/>
      <w:bookmarkEnd w:id="2"/>
      <w:bookmarkEnd w:id="3"/>
      <w:bookmarkEnd w:id="4"/>
    </w:p>
    <w:p w14:paraId="52E3035F">
      <w:pPr>
        <w:spacing w:before="156" w:after="156"/>
        <w:ind w:left="420" w:firstLine="540" w:firstLineChars="225"/>
      </w:pPr>
      <w:r>
        <w:rPr>
          <w:rFonts w:hint="eastAsia"/>
        </w:rPr>
        <w:t>本手册包含了您··药品交易所需了解的信息。手册中所出现的用户名称及相关数据均为系统测试数据，不作为任何正式采购的依据。</w:t>
      </w:r>
    </w:p>
    <w:p w14:paraId="2EC74B90">
      <w:pPr>
        <w:spacing w:before="156" w:after="156"/>
        <w:ind w:left="420" w:firstLine="600"/>
        <w:jc w:val="center"/>
        <w:rPr>
          <w:rFonts w:ascii="宋体" w:hAnsi="宋体"/>
          <w:sz w:val="30"/>
          <w:szCs w:val="30"/>
        </w:rPr>
      </w:pPr>
      <w:r>
        <w:rPr>
          <w:rFonts w:ascii="宋体" w:hAnsi="宋体"/>
          <w:sz w:val="30"/>
          <w:szCs w:val="30"/>
        </w:rPr>
        <w:br w:type="page"/>
      </w:r>
    </w:p>
    <w:p w14:paraId="11C1CB0B">
      <w:pPr>
        <w:pStyle w:val="2"/>
        <w:spacing w:before="312" w:after="312"/>
        <w:ind w:left="562" w:hanging="562"/>
      </w:pPr>
      <w:r>
        <w:rPr>
          <w:rFonts w:hint="eastAsia"/>
        </w:rPr>
        <w:t>使用须知</w:t>
      </w:r>
    </w:p>
    <w:p w14:paraId="6D262A5C">
      <w:pPr>
        <w:spacing w:before="156" w:after="156"/>
        <w:ind w:firstLine="480"/>
        <w:rPr>
          <w:rFonts w:ascii="宋体" w:hAnsi="宋体"/>
        </w:rPr>
      </w:pPr>
      <w:r>
        <w:rPr>
          <w:rFonts w:hint="eastAsia" w:ascii="宋体" w:hAnsi="宋体"/>
        </w:rPr>
        <w:t>操作系统要求：对操作系统要求不高，</w:t>
      </w:r>
      <w:r>
        <w:rPr>
          <w:rFonts w:ascii="宋体" w:hAnsi="宋体"/>
        </w:rPr>
        <w:t>Windows XP及以上即可。</w:t>
      </w:r>
    </w:p>
    <w:p w14:paraId="385571D5">
      <w:pPr>
        <w:spacing w:before="156" w:after="156"/>
        <w:ind w:firstLine="480"/>
        <w:rPr>
          <w:rFonts w:ascii="宋体" w:hAnsi="宋体"/>
        </w:rPr>
      </w:pPr>
      <w:r>
        <w:rPr>
          <w:rFonts w:hint="eastAsia" w:ascii="宋体" w:hAnsi="宋体"/>
        </w:rPr>
        <w:t>浏览器要求：涉及到签章功能，谷歌浏览器请使用</w:t>
      </w:r>
      <w:r>
        <w:rPr>
          <w:rFonts w:ascii="宋体" w:hAnsi="宋体"/>
        </w:rPr>
        <w:t xml:space="preserve"> 94以下版本，360极速浏览器请使用9.5以下版本，IE浏览器无限制。</w:t>
      </w:r>
    </w:p>
    <w:p w14:paraId="3342BEDC">
      <w:pPr>
        <w:pStyle w:val="2"/>
        <w:spacing w:before="312" w:after="312"/>
        <w:ind w:left="562" w:hanging="562"/>
      </w:pPr>
      <w:r>
        <w:rPr>
          <w:rFonts w:hint="eastAsia"/>
        </w:rPr>
        <w:t>用户登录</w:t>
      </w:r>
    </w:p>
    <w:p w14:paraId="4353DC29">
      <w:pPr>
        <w:spacing w:before="156" w:after="156"/>
        <w:ind w:firstLine="480"/>
        <w:rPr>
          <w:rFonts w:hint="default" w:eastAsia="宋体"/>
          <w:lang w:val="en-US" w:eastAsia="zh-CN"/>
        </w:rPr>
      </w:pPr>
      <w:r>
        <w:rPr>
          <w:rFonts w:hint="eastAsia"/>
        </w:rPr>
        <w:t>用户在浏览器中</w:t>
      </w:r>
      <w:r>
        <w:rPr>
          <w:rFonts w:hint="eastAsia"/>
          <w:lang w:val="en-US" w:eastAsia="zh-CN"/>
        </w:rPr>
        <w:t>输入以下网址：</w:t>
      </w:r>
    </w:p>
    <w:p w14:paraId="672F30BB">
      <w:pPr>
        <w:spacing w:before="156" w:after="156"/>
        <w:ind w:left="0" w:leftChars="0" w:firstLine="0" w:firstLineChars="0"/>
      </w:pPr>
      <w:r>
        <w:rPr>
          <w:rFonts w:hint="eastAsia"/>
          <w:lang w:val="en-US" w:eastAsia="zh-CN"/>
        </w:rPr>
        <w:t xml:space="preserve">https://zwfw.shaanxi.gov.cn/ggfw/hallEnter/#/Index?accessToken=123  </w:t>
      </w:r>
      <w:r>
        <w:rPr>
          <w:rFonts w:hint="eastAsia"/>
        </w:rPr>
        <w:t>进入陕西省医保公共服务网上服务大厅医保公共服务门户页面</w:t>
      </w:r>
      <w:r>
        <w:t>，</w:t>
      </w:r>
      <w:r>
        <w:rPr>
          <w:rFonts w:hint="eastAsia"/>
        </w:rPr>
        <w:t>点击</w:t>
      </w:r>
      <w:r>
        <w:t>【</w:t>
      </w:r>
      <w:r>
        <w:rPr>
          <w:rFonts w:hint="eastAsia"/>
        </w:rPr>
        <w:t>单位登录</w:t>
      </w:r>
      <w:r>
        <w:t>】</w:t>
      </w:r>
      <w:r>
        <w:rPr>
          <w:rFonts w:hint="eastAsia"/>
        </w:rPr>
        <w:t>进入登录页面</w:t>
      </w:r>
      <w:r>
        <w:t>。</w:t>
      </w:r>
    </w:p>
    <w:p w14:paraId="74F0CE8F">
      <w:pPr>
        <w:spacing w:before="156" w:after="156"/>
        <w:ind w:firstLine="480"/>
        <w:jc w:val="center"/>
      </w:pPr>
      <w:r>
        <w:drawing>
          <wp:inline distT="0" distB="0" distL="0" distR="0">
            <wp:extent cx="2012315" cy="179959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012400" cy="1800000"/>
                    </a:xfrm>
                    <a:prstGeom prst="rect">
                      <a:avLst/>
                    </a:prstGeom>
                  </pic:spPr>
                </pic:pic>
              </a:graphicData>
            </a:graphic>
          </wp:inline>
        </w:drawing>
      </w:r>
    </w:p>
    <w:p w14:paraId="4459E0BC">
      <w:pPr>
        <w:pStyle w:val="10"/>
        <w:keepNext/>
        <w:keepLines/>
        <w:numPr>
          <w:ilvl w:val="0"/>
          <w:numId w:val="2"/>
        </w:numPr>
        <w:spacing w:before="156" w:beforeLines="50" w:after="156" w:afterLines="50" w:line="720" w:lineRule="auto"/>
        <w:ind w:firstLineChars="0"/>
        <w:outlineLvl w:val="2"/>
        <w:rPr>
          <w:b/>
          <w:bCs/>
          <w:vanish/>
          <w:szCs w:val="32"/>
        </w:rPr>
      </w:pPr>
    </w:p>
    <w:p w14:paraId="7B2D679D">
      <w:pPr>
        <w:pStyle w:val="10"/>
        <w:keepNext/>
        <w:keepLines/>
        <w:numPr>
          <w:ilvl w:val="0"/>
          <w:numId w:val="2"/>
        </w:numPr>
        <w:spacing w:before="156" w:beforeLines="50" w:after="156" w:afterLines="50" w:line="720" w:lineRule="auto"/>
        <w:ind w:firstLineChars="0"/>
        <w:outlineLvl w:val="2"/>
        <w:rPr>
          <w:b/>
          <w:bCs/>
          <w:vanish/>
          <w:szCs w:val="32"/>
        </w:rPr>
      </w:pPr>
    </w:p>
    <w:p w14:paraId="6C656444">
      <w:pPr>
        <w:pStyle w:val="4"/>
        <w:numPr>
          <w:ilvl w:val="1"/>
          <w:numId w:val="2"/>
        </w:numPr>
        <w:spacing w:before="156" w:after="156"/>
      </w:pPr>
      <w:r>
        <w:rPr>
          <w:rFonts w:hint="eastAsia"/>
        </w:rPr>
        <w:t>CA证书登录</w:t>
      </w:r>
    </w:p>
    <w:p w14:paraId="2CE09B00">
      <w:pPr>
        <w:spacing w:before="156" w:after="156"/>
        <w:ind w:firstLine="480"/>
      </w:pPr>
      <w:r>
        <w:rPr>
          <w:rFonts w:hint="eastAsia"/>
        </w:rPr>
        <w:t>登录界面中点击【</w:t>
      </w:r>
      <w:r>
        <w:drawing>
          <wp:inline distT="0" distB="0" distL="0" distR="0">
            <wp:extent cx="737870" cy="212090"/>
            <wp:effectExtent l="0" t="0" r="508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738000" cy="212400"/>
                    </a:xfrm>
                    <a:prstGeom prst="rect">
                      <a:avLst/>
                    </a:prstGeom>
                  </pic:spPr>
                </pic:pic>
              </a:graphicData>
            </a:graphic>
          </wp:inline>
        </w:drawing>
      </w:r>
      <w:r>
        <w:rPr>
          <w:rFonts w:hint="eastAsia"/>
        </w:rPr>
        <w:t>】。</w:t>
      </w:r>
    </w:p>
    <w:p w14:paraId="28CB65A5">
      <w:pPr>
        <w:spacing w:before="156" w:after="156"/>
        <w:ind w:firstLine="480"/>
      </w:pPr>
      <w:r>
        <w:rPr>
          <w:rFonts w:hint="eastAsia"/>
        </w:rPr>
        <w:t>插入CAKey选择证书。</w:t>
      </w:r>
    </w:p>
    <w:p w14:paraId="25A0A548">
      <w:pPr>
        <w:spacing w:before="156" w:after="156"/>
        <w:ind w:left="480" w:firstLine="0" w:firstLineChars="0"/>
        <w:jc w:val="center"/>
      </w:pPr>
      <w:r>
        <w:drawing>
          <wp:inline distT="0" distB="0" distL="0" distR="0">
            <wp:extent cx="2912110" cy="179959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912400" cy="1800000"/>
                    </a:xfrm>
                    <a:prstGeom prst="rect">
                      <a:avLst/>
                    </a:prstGeom>
                    <a:noFill/>
                    <a:ln>
                      <a:noFill/>
                    </a:ln>
                  </pic:spPr>
                </pic:pic>
              </a:graphicData>
            </a:graphic>
          </wp:inline>
        </w:drawing>
      </w:r>
    </w:p>
    <w:p w14:paraId="66475940">
      <w:pPr>
        <w:spacing w:before="156" w:after="156"/>
        <w:ind w:firstLine="480"/>
      </w:pPr>
      <w:r>
        <w:rPr>
          <w:rFonts w:hint="eastAsia"/>
        </w:rPr>
        <w:t>点击【</w:t>
      </w:r>
      <w:r>
        <w:drawing>
          <wp:inline distT="0" distB="0" distL="0" distR="0">
            <wp:extent cx="1273810" cy="179705"/>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9"/>
                    <a:stretch>
                      <a:fillRect/>
                    </a:stretch>
                  </pic:blipFill>
                  <pic:spPr>
                    <a:xfrm>
                      <a:off x="0" y="0"/>
                      <a:ext cx="1274400" cy="180000"/>
                    </a:xfrm>
                    <a:prstGeom prst="rect">
                      <a:avLst/>
                    </a:prstGeom>
                  </pic:spPr>
                </pic:pic>
              </a:graphicData>
            </a:graphic>
          </wp:inline>
        </w:drawing>
      </w:r>
      <w:r>
        <w:rPr>
          <w:rFonts w:hint="eastAsia"/>
        </w:rPr>
        <w:t>】，在弹出的对话框中输入用户口令，点击【确定】即可登录公共服务网上服务大厅。</w:t>
      </w:r>
    </w:p>
    <w:p w14:paraId="59B77068">
      <w:pPr>
        <w:spacing w:before="156" w:after="156"/>
        <w:ind w:firstLine="480"/>
        <w:jc w:val="cente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r>
        <w:drawing>
          <wp:inline distT="0" distB="0" distL="0" distR="0">
            <wp:extent cx="2141855" cy="107950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42000" cy="1080000"/>
                    </a:xfrm>
                    <a:prstGeom prst="rect">
                      <a:avLst/>
                    </a:prstGeom>
                    <a:noFill/>
                    <a:ln>
                      <a:noFill/>
                    </a:ln>
                  </pic:spPr>
                </pic:pic>
              </a:graphicData>
            </a:graphic>
          </wp:inline>
        </w:drawing>
      </w:r>
    </w:p>
    <w:p w14:paraId="48820C20">
      <w:pPr>
        <w:spacing w:before="156" w:after="156"/>
        <w:ind w:firstLine="480"/>
      </w:pPr>
      <w:r>
        <w:rPr>
          <w:rFonts w:hint="eastAsia"/>
        </w:rPr>
        <w:t>点击登录，在弹出的对话框中输入用户口令，点击【确定】即可进入公共服务网上服务大厅。登录成功后点击【</w:t>
      </w:r>
      <w:r>
        <w:drawing>
          <wp:inline distT="0" distB="0" distL="0" distR="0">
            <wp:extent cx="680085" cy="208280"/>
            <wp:effectExtent l="0" t="0" r="571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680400" cy="208800"/>
                    </a:xfrm>
                    <a:prstGeom prst="rect">
                      <a:avLst/>
                    </a:prstGeom>
                  </pic:spPr>
                </pic:pic>
              </a:graphicData>
            </a:graphic>
          </wp:inline>
        </w:drawing>
      </w:r>
      <w:r>
        <w:rPr>
          <w:rFonts w:hint="eastAsia"/>
        </w:rPr>
        <w:t>】，跳转至我的服务大厅，点击【</w:t>
      </w:r>
      <w:r>
        <w:drawing>
          <wp:inline distT="0" distB="0" distL="0" distR="0">
            <wp:extent cx="676275" cy="19431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676800" cy="194400"/>
                    </a:xfrm>
                    <a:prstGeom prst="rect">
                      <a:avLst/>
                    </a:prstGeom>
                  </pic:spPr>
                </pic:pic>
              </a:graphicData>
            </a:graphic>
          </wp:inline>
        </w:drawing>
      </w:r>
      <w:r>
        <w:rPr>
          <w:rFonts w:hint="eastAsia"/>
        </w:rPr>
        <w:t>】后跳转至“药品和医用耗材招采管理子系统”。</w:t>
      </w:r>
    </w:p>
    <w:p w14:paraId="2C6739EC">
      <w:pPr>
        <w:pStyle w:val="2"/>
        <w:spacing w:before="312"/>
        <w:ind w:left="562" w:hanging="562"/>
      </w:pPr>
      <w:r>
        <w:rPr>
          <w:rFonts w:hint="eastAsia"/>
        </w:rPr>
        <w:t>功能介绍</w:t>
      </w:r>
    </w:p>
    <w:p w14:paraId="45605540">
      <w:pPr>
        <w:pStyle w:val="10"/>
        <w:keepNext/>
        <w:keepLines/>
        <w:numPr>
          <w:ilvl w:val="0"/>
          <w:numId w:val="3"/>
        </w:numPr>
        <w:spacing w:before="156" w:beforeLines="50" w:after="156" w:afterLines="50" w:line="415" w:lineRule="auto"/>
        <w:ind w:firstLineChars="0"/>
        <w:outlineLvl w:val="1"/>
        <w:rPr>
          <w:rFonts w:ascii="宋体" w:hAnsi="宋体" w:cstheme="majorBidi"/>
          <w:b/>
          <w:bCs/>
          <w:vanish/>
          <w:sz w:val="28"/>
          <w:szCs w:val="32"/>
        </w:rPr>
      </w:pPr>
    </w:p>
    <w:p w14:paraId="7EDB7DAD">
      <w:pPr>
        <w:pStyle w:val="10"/>
        <w:keepNext/>
        <w:keepLines/>
        <w:numPr>
          <w:ilvl w:val="0"/>
          <w:numId w:val="3"/>
        </w:numPr>
        <w:spacing w:before="156" w:beforeLines="50" w:after="156" w:afterLines="50" w:line="415" w:lineRule="auto"/>
        <w:ind w:firstLineChars="0"/>
        <w:outlineLvl w:val="1"/>
        <w:rPr>
          <w:rFonts w:ascii="宋体" w:hAnsi="宋体" w:cstheme="majorBidi"/>
          <w:b/>
          <w:bCs/>
          <w:vanish/>
          <w:sz w:val="28"/>
          <w:szCs w:val="32"/>
        </w:rPr>
      </w:pPr>
    </w:p>
    <w:p w14:paraId="58613EAC">
      <w:pPr>
        <w:pStyle w:val="10"/>
        <w:keepNext/>
        <w:keepLines/>
        <w:numPr>
          <w:ilvl w:val="0"/>
          <w:numId w:val="3"/>
        </w:numPr>
        <w:spacing w:before="156" w:beforeLines="50" w:after="156" w:afterLines="50" w:line="415" w:lineRule="auto"/>
        <w:ind w:firstLineChars="0"/>
        <w:outlineLvl w:val="1"/>
        <w:rPr>
          <w:rFonts w:ascii="宋体" w:hAnsi="宋体" w:cstheme="majorBidi"/>
          <w:b/>
          <w:bCs/>
          <w:vanish/>
          <w:sz w:val="28"/>
          <w:szCs w:val="32"/>
        </w:rPr>
      </w:pPr>
    </w:p>
    <w:p w14:paraId="4092AEB1">
      <w:pPr>
        <w:pStyle w:val="4"/>
        <w:numPr>
          <w:ilvl w:val="1"/>
          <w:numId w:val="3"/>
        </w:numPr>
        <w:spacing w:before="156" w:after="156"/>
        <w:rPr>
          <w:rFonts w:hint="eastAsia" w:ascii="宋体" w:hAnsi="宋体" w:eastAsia="宋体" w:cstheme="majorBidi"/>
          <w:b/>
          <w:bCs/>
          <w:kern w:val="2"/>
          <w:sz w:val="28"/>
          <w:szCs w:val="32"/>
          <w:lang w:val="en-US" w:eastAsia="zh-CN" w:bidi="ar-SA"/>
        </w:rPr>
      </w:pPr>
      <w:r>
        <w:rPr>
          <w:rFonts w:hint="eastAsia" w:cstheme="majorBidi"/>
          <w:b/>
          <w:bCs/>
          <w:kern w:val="2"/>
          <w:sz w:val="28"/>
          <w:szCs w:val="32"/>
          <w:lang w:val="en-US" w:eastAsia="zh-CN" w:bidi="ar-SA"/>
        </w:rPr>
        <w:t>挂网目录管理</w:t>
      </w:r>
    </w:p>
    <w:p w14:paraId="1484D325">
      <w:pPr>
        <w:rPr>
          <w:rFonts w:hint="default"/>
          <w:lang w:val="en-US" w:eastAsia="zh-CN"/>
        </w:rPr>
      </w:pPr>
      <w:r>
        <w:rPr>
          <w:rFonts w:hint="eastAsia" w:cstheme="majorBidi"/>
          <w:b/>
          <w:bCs/>
          <w:kern w:val="2"/>
          <w:sz w:val="28"/>
          <w:szCs w:val="32"/>
          <w:lang w:val="en-US" w:eastAsia="zh-CN" w:bidi="ar-SA"/>
        </w:rPr>
        <w:t>进入耗材交易结算模块</w:t>
      </w:r>
    </w:p>
    <w:p w14:paraId="2A5F263B">
      <w:r>
        <w:drawing>
          <wp:inline distT="0" distB="0" distL="114300" distR="114300">
            <wp:extent cx="5258435" cy="1820545"/>
            <wp:effectExtent l="0" t="0" r="18415" b="8255"/>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13"/>
                    <a:stretch>
                      <a:fillRect/>
                    </a:stretch>
                  </pic:blipFill>
                  <pic:spPr>
                    <a:xfrm>
                      <a:off x="0" y="0"/>
                      <a:ext cx="5258435" cy="1820545"/>
                    </a:xfrm>
                    <a:prstGeom prst="rect">
                      <a:avLst/>
                    </a:prstGeom>
                    <a:noFill/>
                    <a:ln>
                      <a:noFill/>
                    </a:ln>
                  </pic:spPr>
                </pic:pic>
              </a:graphicData>
            </a:graphic>
          </wp:inline>
        </w:drawing>
      </w:r>
    </w:p>
    <w:p w14:paraId="1B6CA2C4">
      <w:r>
        <w:drawing>
          <wp:inline distT="0" distB="0" distL="114300" distR="114300">
            <wp:extent cx="2314575" cy="1971675"/>
            <wp:effectExtent l="0" t="0" r="9525" b="9525"/>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14"/>
                    <a:stretch>
                      <a:fillRect/>
                    </a:stretch>
                  </pic:blipFill>
                  <pic:spPr>
                    <a:xfrm>
                      <a:off x="0" y="0"/>
                      <a:ext cx="2314575" cy="1971675"/>
                    </a:xfrm>
                    <a:prstGeom prst="rect">
                      <a:avLst/>
                    </a:prstGeom>
                    <a:noFill/>
                    <a:ln>
                      <a:noFill/>
                    </a:ln>
                  </pic:spPr>
                </pic:pic>
              </a:graphicData>
            </a:graphic>
          </wp:inline>
        </w:drawing>
      </w:r>
    </w:p>
    <w:p w14:paraId="788C1E44">
      <w:pPr>
        <w:rPr>
          <w:rFonts w:hint="eastAsia"/>
          <w:lang w:val="en-US" w:eastAsia="zh-CN"/>
        </w:rPr>
      </w:pPr>
      <w:r>
        <w:rPr>
          <w:rFonts w:hint="eastAsia"/>
          <w:lang w:val="en-US" w:eastAsia="zh-CN"/>
        </w:rPr>
        <w:t>打开挂网目录管理如下图：</w:t>
      </w:r>
    </w:p>
    <w:p w14:paraId="74E95D31">
      <w:r>
        <w:drawing>
          <wp:inline distT="0" distB="0" distL="114300" distR="114300">
            <wp:extent cx="5273675" cy="2583180"/>
            <wp:effectExtent l="0" t="0" r="3175" b="7620"/>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15"/>
                    <a:stretch>
                      <a:fillRect/>
                    </a:stretch>
                  </pic:blipFill>
                  <pic:spPr>
                    <a:xfrm>
                      <a:off x="0" y="0"/>
                      <a:ext cx="5273675" cy="2583180"/>
                    </a:xfrm>
                    <a:prstGeom prst="rect">
                      <a:avLst/>
                    </a:prstGeom>
                    <a:noFill/>
                    <a:ln>
                      <a:noFill/>
                    </a:ln>
                  </pic:spPr>
                </pic:pic>
              </a:graphicData>
            </a:graphic>
          </wp:inline>
        </w:drawing>
      </w:r>
    </w:p>
    <w:p w14:paraId="7D99D55A">
      <w:pPr>
        <w:rPr>
          <w:rFonts w:hint="default"/>
          <w:lang w:val="en-US" w:eastAsia="zh-CN"/>
        </w:rPr>
      </w:pPr>
      <w:r>
        <w:rPr>
          <w:rFonts w:hint="eastAsia"/>
          <w:lang w:val="en-US" w:eastAsia="zh-CN"/>
        </w:rPr>
        <w:t>企业找到需要调整限价的产品点击操作栏“申报”按钮，目前此功能只限定普通耗材参考价调整至限价的产品。</w:t>
      </w:r>
      <w:bookmarkStart w:id="5" w:name="_GoBack"/>
      <w:bookmarkEnd w:id="5"/>
    </w:p>
    <w:p w14:paraId="0D825851">
      <w:r>
        <w:drawing>
          <wp:inline distT="0" distB="0" distL="114300" distR="114300">
            <wp:extent cx="5260975" cy="1740535"/>
            <wp:effectExtent l="0" t="0" r="15875" b="12065"/>
            <wp:docPr id="3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pic:cNvPicPr>
                      <a:picLocks noChangeAspect="1"/>
                    </pic:cNvPicPr>
                  </pic:nvPicPr>
                  <pic:blipFill>
                    <a:blip r:embed="rId16"/>
                    <a:stretch>
                      <a:fillRect/>
                    </a:stretch>
                  </pic:blipFill>
                  <pic:spPr>
                    <a:xfrm>
                      <a:off x="0" y="0"/>
                      <a:ext cx="5260975" cy="1740535"/>
                    </a:xfrm>
                    <a:prstGeom prst="rect">
                      <a:avLst/>
                    </a:prstGeom>
                    <a:noFill/>
                    <a:ln>
                      <a:noFill/>
                    </a:ln>
                  </pic:spPr>
                </pic:pic>
              </a:graphicData>
            </a:graphic>
          </wp:inline>
        </w:drawing>
      </w:r>
    </w:p>
    <w:p w14:paraId="2365E613">
      <w:pPr>
        <w:rPr>
          <w:rFonts w:hint="default" w:eastAsia="宋体"/>
          <w:lang w:val="en-US" w:eastAsia="zh-CN"/>
        </w:rPr>
      </w:pPr>
      <w:r>
        <w:rPr>
          <w:rFonts w:hint="eastAsia"/>
          <w:lang w:val="en-US" w:eastAsia="zh-CN"/>
        </w:rPr>
        <w:t>企业需要上传三省挂网价格和相关证明材料填写完成后提交平台进行审核。</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D03C2"/>
    <w:multiLevelType w:val="multilevel"/>
    <w:tmpl w:val="1B0D03C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4AAC7042"/>
    <w:multiLevelType w:val="multilevel"/>
    <w:tmpl w:val="4AAC704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4D32328E"/>
    <w:multiLevelType w:val="multilevel"/>
    <w:tmpl w:val="4D32328E"/>
    <w:lvl w:ilvl="0" w:tentative="0">
      <w:start w:val="1"/>
      <w:numFmt w:val="chineseCountingThousand"/>
      <w:pStyle w:val="2"/>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0NGNiZjUzMTI4N2VkYTFkNTFjNDc3MDgyOGZjNzEifQ=="/>
  </w:docVars>
  <w:rsids>
    <w:rsidRoot w:val="000277BC"/>
    <w:rsid w:val="000277BC"/>
    <w:rsid w:val="000C7C92"/>
    <w:rsid w:val="00130356"/>
    <w:rsid w:val="00243315"/>
    <w:rsid w:val="00334152"/>
    <w:rsid w:val="00443FC9"/>
    <w:rsid w:val="00487E9F"/>
    <w:rsid w:val="006A4E00"/>
    <w:rsid w:val="006E2F48"/>
    <w:rsid w:val="0070496E"/>
    <w:rsid w:val="008E3549"/>
    <w:rsid w:val="0096048B"/>
    <w:rsid w:val="00C348B9"/>
    <w:rsid w:val="00D65A8A"/>
    <w:rsid w:val="00DC5CA4"/>
    <w:rsid w:val="00F355C6"/>
    <w:rsid w:val="00FF4FB5"/>
    <w:rsid w:val="0C80377F"/>
    <w:rsid w:val="0D797C97"/>
    <w:rsid w:val="11080E8E"/>
    <w:rsid w:val="14047C18"/>
    <w:rsid w:val="1880578C"/>
    <w:rsid w:val="1BA81043"/>
    <w:rsid w:val="1BDB1913"/>
    <w:rsid w:val="4C216D3B"/>
    <w:rsid w:val="5DC64860"/>
    <w:rsid w:val="646038DF"/>
    <w:rsid w:val="777302F5"/>
    <w:rsid w:val="7BFC6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4"/>
      <w:szCs w:val="22"/>
      <w:lang w:val="en-US" w:eastAsia="zh-CN" w:bidi="ar-SA"/>
    </w:rPr>
  </w:style>
  <w:style w:type="paragraph" w:styleId="2">
    <w:name w:val="heading 1"/>
    <w:basedOn w:val="3"/>
    <w:next w:val="1"/>
    <w:link w:val="8"/>
    <w:qFormat/>
    <w:uiPriority w:val="9"/>
    <w:pPr>
      <w:keepNext/>
      <w:keepLines/>
      <w:numPr>
        <w:ilvl w:val="0"/>
        <w:numId w:val="1"/>
      </w:numPr>
      <w:spacing w:before="100" w:beforeLines="100"/>
      <w:ind w:left="200" w:hanging="200" w:hangingChars="200"/>
      <w:outlineLvl w:val="0"/>
    </w:pPr>
    <w:rPr>
      <w:b/>
      <w:bCs/>
      <w:kern w:val="44"/>
      <w:sz w:val="28"/>
      <w:szCs w:val="44"/>
    </w:rPr>
  </w:style>
  <w:style w:type="paragraph" w:styleId="4">
    <w:name w:val="heading 2"/>
    <w:basedOn w:val="3"/>
    <w:next w:val="1"/>
    <w:link w:val="9"/>
    <w:unhideWhenUsed/>
    <w:qFormat/>
    <w:uiPriority w:val="9"/>
    <w:pPr>
      <w:keepNext/>
      <w:keepLines/>
      <w:spacing w:before="50" w:beforeLines="50" w:after="50" w:afterLines="50" w:line="415" w:lineRule="auto"/>
      <w:ind w:firstLine="0" w:firstLineChars="0"/>
      <w:outlineLvl w:val="1"/>
    </w:pPr>
    <w:rPr>
      <w:rFonts w:ascii="宋体" w:hAnsi="宋体" w:cstheme="majorBidi"/>
      <w:b/>
      <w:bCs/>
      <w:sz w:val="28"/>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 Spacing"/>
    <w:qFormat/>
    <w:uiPriority w:val="1"/>
    <w:pPr>
      <w:widowControl w:val="0"/>
      <w:ind w:firstLine="200" w:firstLineChars="200"/>
      <w:jc w:val="both"/>
    </w:pPr>
    <w:rPr>
      <w:rFonts w:eastAsia="宋体" w:asciiTheme="minorHAnsi" w:hAnsiTheme="minorHAnsi" w:cstheme="minorBidi"/>
      <w:kern w:val="2"/>
      <w:sz w:val="24"/>
      <w:szCs w:val="22"/>
      <w:lang w:val="en-US" w:eastAsia="zh-CN" w:bidi="ar-SA"/>
    </w:rPr>
  </w:style>
  <w:style w:type="paragraph" w:styleId="5">
    <w:name w:val="caption"/>
    <w:basedOn w:val="1"/>
    <w:next w:val="1"/>
    <w:unhideWhenUsed/>
    <w:qFormat/>
    <w:uiPriority w:val="35"/>
    <w:rPr>
      <w:rFonts w:eastAsia="黑体" w:asciiTheme="majorHAnsi" w:hAnsiTheme="majorHAnsi" w:cstheme="majorBidi"/>
      <w:sz w:val="20"/>
      <w:szCs w:val="20"/>
    </w:rPr>
  </w:style>
  <w:style w:type="character" w:customStyle="1" w:styleId="8">
    <w:name w:val="标题 1 字符"/>
    <w:basedOn w:val="7"/>
    <w:link w:val="2"/>
    <w:qFormat/>
    <w:uiPriority w:val="9"/>
    <w:rPr>
      <w:rFonts w:eastAsia="宋体"/>
      <w:b/>
      <w:bCs/>
      <w:kern w:val="44"/>
      <w:sz w:val="28"/>
      <w:szCs w:val="44"/>
    </w:rPr>
  </w:style>
  <w:style w:type="character" w:customStyle="1" w:styleId="9">
    <w:name w:val="标题 2 字符"/>
    <w:basedOn w:val="7"/>
    <w:link w:val="4"/>
    <w:qFormat/>
    <w:uiPriority w:val="9"/>
    <w:rPr>
      <w:rFonts w:ascii="宋体" w:hAnsi="宋体" w:eastAsia="宋体" w:cstheme="majorBidi"/>
      <w:b/>
      <w:bCs/>
      <w:sz w:val="28"/>
      <w:szCs w:val="32"/>
    </w:r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531</Words>
  <Characters>614</Characters>
  <Lines>10</Lines>
  <Paragraphs>2</Paragraphs>
  <TotalTime>47</TotalTime>
  <ScaleCrop>false</ScaleCrop>
  <LinksUpToDate>false</LinksUpToDate>
  <CharactersWithSpaces>618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2022-04-28T03:27:00Z</dcterms:created>
  <dc:creator>王 昌勤</dc:creator>
  <cp:lastModifiedBy>61410</cp:lastModifiedBy>
  <dcterms:modified xsi:type="dcterms:W3CDTF">2024-10-30T04:19:41Z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1405D836C10F4B4C988E2945FE0AFF65</vt:lpwstr>
  </property>
</Properties>
</file>