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427D3">
      <w:pPr>
        <w:spacing w:line="720" w:lineRule="auto"/>
        <w:ind w:firstLine="880"/>
        <w:jc w:val="center"/>
        <w:rPr>
          <w:rFonts w:ascii="黑体" w:hAnsi="黑体" w:eastAsia="黑体"/>
          <w:sz w:val="44"/>
          <w:szCs w:val="40"/>
        </w:rPr>
      </w:pPr>
      <w:r>
        <w:rPr>
          <w:rFonts w:hint="eastAsia" w:ascii="黑体" w:hAnsi="黑体" w:eastAsia="黑体"/>
          <w:sz w:val="44"/>
          <w:szCs w:val="40"/>
        </w:rPr>
        <w:t>陕西省医疗保障信息平台</w:t>
      </w:r>
    </w:p>
    <w:p w14:paraId="3F0A3B92">
      <w:pPr>
        <w:spacing w:line="720" w:lineRule="auto"/>
        <w:ind w:firstLine="880"/>
        <w:jc w:val="center"/>
        <w:rPr>
          <w:rFonts w:ascii="黑体" w:hAnsi="黑体" w:eastAsia="黑体"/>
          <w:sz w:val="44"/>
          <w:szCs w:val="40"/>
        </w:rPr>
      </w:pPr>
      <w:r>
        <w:rPr>
          <w:rFonts w:hint="eastAsia" w:ascii="黑体" w:hAnsi="黑体" w:eastAsia="黑体"/>
          <w:sz w:val="44"/>
          <w:szCs w:val="40"/>
        </w:rPr>
        <w:t>药品和医用耗材招采管理子系统</w:t>
      </w:r>
    </w:p>
    <w:p w14:paraId="0CBD2F8F">
      <w:pPr>
        <w:spacing w:line="720" w:lineRule="auto"/>
        <w:ind w:firstLine="880"/>
        <w:jc w:val="center"/>
        <w:rPr>
          <w:rFonts w:hint="eastAsia" w:ascii="黑体" w:hAnsi="黑体" w:eastAsia="黑体"/>
          <w:sz w:val="44"/>
          <w:szCs w:val="40"/>
        </w:rPr>
      </w:pPr>
      <w:r>
        <w:rPr>
          <w:rFonts w:hint="eastAsia" w:ascii="黑体" w:hAnsi="黑体" w:eastAsia="黑体"/>
          <w:sz w:val="44"/>
          <w:szCs w:val="40"/>
          <w:lang w:val="en-US" w:eastAsia="zh-CN"/>
        </w:rPr>
        <w:t>结算账户登记</w:t>
      </w:r>
      <w:r>
        <w:rPr>
          <w:rFonts w:hint="eastAsia" w:ascii="黑体" w:hAnsi="黑体" w:eastAsia="黑体"/>
          <w:sz w:val="44"/>
          <w:szCs w:val="40"/>
        </w:rPr>
        <w:t>操作手册</w:t>
      </w:r>
    </w:p>
    <w:p w14:paraId="2C5F9EB6">
      <w:pPr>
        <w:spacing w:line="720" w:lineRule="auto"/>
        <w:ind w:firstLine="880"/>
        <w:jc w:val="center"/>
        <w:rPr>
          <w:rFonts w:ascii="黑体" w:hAnsi="黑体" w:eastAsia="黑体"/>
          <w:sz w:val="44"/>
          <w:szCs w:val="40"/>
        </w:rPr>
      </w:pPr>
      <w:bookmarkStart w:id="5" w:name="_GoBack"/>
      <w:bookmarkEnd w:id="5"/>
    </w:p>
    <w:p w14:paraId="7C53EC09">
      <w:pPr>
        <w:ind w:firstLine="480"/>
      </w:pPr>
    </w:p>
    <w:p w14:paraId="2CCB8BA5">
      <w:pPr>
        <w:ind w:firstLine="480"/>
      </w:pPr>
    </w:p>
    <w:p w14:paraId="67D76A43">
      <w:pPr>
        <w:ind w:firstLine="480"/>
      </w:pPr>
    </w:p>
    <w:p w14:paraId="1CDD03E4">
      <w:pPr>
        <w:ind w:firstLine="480"/>
      </w:pPr>
    </w:p>
    <w:p w14:paraId="5511FCEE">
      <w:pPr>
        <w:ind w:firstLine="480"/>
      </w:pPr>
    </w:p>
    <w:p w14:paraId="50A9E26C">
      <w:pPr>
        <w:ind w:firstLine="480"/>
      </w:pPr>
    </w:p>
    <w:p w14:paraId="71C2D175">
      <w:pPr>
        <w:ind w:firstLine="480"/>
      </w:pPr>
    </w:p>
    <w:p w14:paraId="1906D359">
      <w:pPr>
        <w:ind w:firstLine="480"/>
      </w:pPr>
    </w:p>
    <w:p w14:paraId="0BB34D59">
      <w:pPr>
        <w:ind w:firstLine="480"/>
      </w:pPr>
    </w:p>
    <w:p w14:paraId="6E588B5F">
      <w:pPr>
        <w:ind w:firstLine="480"/>
      </w:pPr>
    </w:p>
    <w:p w14:paraId="14E29BA5">
      <w:pPr>
        <w:spacing w:before="156" w:after="156"/>
        <w:ind w:left="420" w:firstLine="480"/>
      </w:pPr>
    </w:p>
    <w:p w14:paraId="2D30EAC0">
      <w:pPr>
        <w:spacing w:before="156" w:after="156"/>
        <w:ind w:left="420" w:firstLine="480"/>
      </w:pPr>
    </w:p>
    <w:p w14:paraId="327D5997">
      <w:pPr>
        <w:spacing w:before="156" w:after="156"/>
        <w:ind w:left="420" w:firstLine="480"/>
      </w:pPr>
    </w:p>
    <w:p w14:paraId="027AB6CA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陕西省公共资源交易中心</w:t>
      </w:r>
    </w:p>
    <w:p w14:paraId="4FA2BC5E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贰零二</w:t>
      </w:r>
      <w:r>
        <w:rPr>
          <w:rFonts w:hint="eastAsia" w:ascii="宋体" w:hAnsi="宋体"/>
          <w:sz w:val="30"/>
          <w:szCs w:val="30"/>
          <w:lang w:val="en-US" w:eastAsia="zh-CN"/>
        </w:rPr>
        <w:t>五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八</w:t>
      </w:r>
      <w:r>
        <w:rPr>
          <w:rFonts w:hint="eastAsia" w:ascii="宋体" w:hAnsi="宋体"/>
          <w:sz w:val="30"/>
          <w:szCs w:val="30"/>
        </w:rPr>
        <w:t>月</w:t>
      </w:r>
    </w:p>
    <w:p w14:paraId="1C00E41D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14:paraId="6E085316">
      <w:pPr>
        <w:spacing w:before="312" w:beforeLines="100" w:after="312" w:afterLines="100" w:line="480" w:lineRule="auto"/>
        <w:ind w:firstLine="5" w:firstLineChars="1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欢迎使用</w:t>
      </w:r>
    </w:p>
    <w:p w14:paraId="3CD0EA60">
      <w:pPr>
        <w:spacing w:before="312" w:beforeLines="100" w:after="312" w:afterLines="100"/>
        <w:ind w:firstLineChars="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陕西省医疗保障信息平台</w:t>
      </w:r>
    </w:p>
    <w:p w14:paraId="11C6B115">
      <w:pPr>
        <w:spacing w:before="312" w:beforeLines="100" w:after="312" w:afterLines="100"/>
        <w:ind w:firstLineChars="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药品和医用耗材招采管理子系统</w:t>
      </w:r>
    </w:p>
    <w:p w14:paraId="56FD869B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1035ED9D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5130C233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1A140E99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40D8F7FF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6C9D84A8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66442836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69758EA9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7C5C329F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1774521C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06AF953E">
      <w:pPr>
        <w:spacing w:before="156" w:after="156"/>
        <w:ind w:firstLine="480"/>
      </w:pPr>
      <w:bookmarkStart w:id="0" w:name="_Toc233189553"/>
      <w:bookmarkStart w:id="1" w:name="_Toc428124240"/>
      <w:bookmarkStart w:id="2" w:name="_Toc428344568"/>
      <w:bookmarkStart w:id="3" w:name="_Toc248638615"/>
      <w:bookmarkStart w:id="4" w:name="_Toc246739487"/>
      <w:r>
        <w:rPr>
          <w:rFonts w:hint="eastAsia"/>
        </w:rPr>
        <w:t>关于本用户手册</w:t>
      </w:r>
      <w:bookmarkEnd w:id="0"/>
      <w:bookmarkEnd w:id="1"/>
      <w:bookmarkEnd w:id="2"/>
      <w:bookmarkEnd w:id="3"/>
      <w:bookmarkEnd w:id="4"/>
    </w:p>
    <w:p w14:paraId="78E852F7">
      <w:pPr>
        <w:spacing w:before="156" w:after="156"/>
        <w:ind w:left="420" w:firstLine="540" w:firstLineChars="225"/>
      </w:pPr>
      <w:r>
        <w:rPr>
          <w:rFonts w:hint="eastAsia"/>
        </w:rPr>
        <w:t>本手册包含了您··药品</w:t>
      </w:r>
      <w:r>
        <w:rPr>
          <w:rFonts w:hint="eastAsia"/>
          <w:lang w:val="en-US" w:eastAsia="zh-CN"/>
        </w:rPr>
        <w:t>耗材</w:t>
      </w:r>
      <w:r>
        <w:rPr>
          <w:rFonts w:hint="eastAsia"/>
        </w:rPr>
        <w:t>交易所需了解的信息。手册中所出现的用户名称及相关数据均为系统测试数据，不作为任何正式采购的依据。</w:t>
      </w:r>
    </w:p>
    <w:p w14:paraId="05B9B890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14:paraId="6117075F">
      <w:pPr>
        <w:pStyle w:val="2"/>
        <w:spacing w:before="312" w:after="312"/>
        <w:ind w:left="562" w:hanging="562"/>
      </w:pPr>
      <w:r>
        <w:rPr>
          <w:rFonts w:hint="eastAsia"/>
        </w:rPr>
        <w:t>使用须知</w:t>
      </w:r>
    </w:p>
    <w:p w14:paraId="0A094EDE">
      <w:pPr>
        <w:spacing w:before="156" w:after="156"/>
        <w:ind w:firstLine="480"/>
        <w:rPr>
          <w:rFonts w:ascii="宋体" w:hAnsi="宋体"/>
        </w:rPr>
      </w:pPr>
      <w:r>
        <w:rPr>
          <w:rFonts w:hint="eastAsia" w:ascii="宋体" w:hAnsi="宋体"/>
        </w:rPr>
        <w:t>操作系统要求：对操作系统要求不高，</w:t>
      </w:r>
      <w:r>
        <w:rPr>
          <w:rFonts w:ascii="宋体" w:hAnsi="宋体"/>
        </w:rPr>
        <w:t>Windows XP及以上即可。</w:t>
      </w:r>
    </w:p>
    <w:p w14:paraId="15348573">
      <w:pPr>
        <w:spacing w:before="156" w:after="156"/>
        <w:ind w:firstLine="480"/>
        <w:rPr>
          <w:rFonts w:ascii="宋体" w:hAnsi="宋体"/>
        </w:rPr>
      </w:pPr>
      <w:r>
        <w:rPr>
          <w:rFonts w:hint="eastAsia" w:ascii="宋体" w:hAnsi="宋体"/>
        </w:rPr>
        <w:t>浏览器要求：涉及到签章功能，谷歌浏览器请使用</w:t>
      </w:r>
      <w:r>
        <w:rPr>
          <w:rFonts w:ascii="宋体" w:hAnsi="宋体"/>
        </w:rPr>
        <w:t xml:space="preserve"> 94以下版本，360极速浏览器请使用9.5以下版本，IE浏览器无限制。</w:t>
      </w:r>
    </w:p>
    <w:p w14:paraId="0C3993E3">
      <w:pPr>
        <w:pStyle w:val="2"/>
        <w:spacing w:before="312" w:after="312"/>
        <w:ind w:left="562" w:hanging="562"/>
      </w:pPr>
      <w:r>
        <w:rPr>
          <w:rFonts w:hint="eastAsia"/>
        </w:rPr>
        <w:t>用户登录</w:t>
      </w:r>
    </w:p>
    <w:p w14:paraId="5B47E2B3">
      <w:pPr>
        <w:spacing w:before="156" w:after="156"/>
        <w:ind w:firstLine="480"/>
      </w:pPr>
      <w:r>
        <w:rPr>
          <w:rFonts w:hint="eastAsia"/>
        </w:rPr>
        <w:t>用户在浏览器中输入</w:t>
      </w:r>
      <w:r>
        <w:rPr>
          <w:color w:val="4472C4" w:themeColor="accent1"/>
          <w14:textFill>
            <w14:solidFill>
              <w14:schemeClr w14:val="accent1"/>
            </w14:solidFill>
          </w14:textFill>
        </w:rPr>
        <w:t>https://zwfw.shaanxi.gov.cn/ggfw/hallEnter/#/Index</w:t>
      </w:r>
      <w:r>
        <w:rPr>
          <w:rFonts w:hint="eastAsia"/>
        </w:rPr>
        <w:t>进入陕西省医保公共服务网上服务大厅医保公共服务门户页面</w:t>
      </w:r>
      <w:r>
        <w:t>，</w:t>
      </w:r>
      <w:r>
        <w:rPr>
          <w:rFonts w:hint="eastAsia"/>
        </w:rPr>
        <w:t>点击</w:t>
      </w:r>
      <w:r>
        <w:t>【</w:t>
      </w:r>
      <w:r>
        <w:rPr>
          <w:rFonts w:hint="eastAsia"/>
        </w:rPr>
        <w:t>单位登录</w:t>
      </w:r>
      <w:r>
        <w:t>】</w:t>
      </w:r>
      <w:r>
        <w:rPr>
          <w:rFonts w:hint="eastAsia"/>
        </w:rPr>
        <w:t>进入登录页面</w:t>
      </w:r>
      <w:r>
        <w:t>。</w:t>
      </w:r>
    </w:p>
    <w:p w14:paraId="37D0EA05">
      <w:pPr>
        <w:spacing w:before="156" w:after="156"/>
        <w:ind w:firstLine="480"/>
        <w:jc w:val="center"/>
      </w:pPr>
      <w:r>
        <w:drawing>
          <wp:inline distT="0" distB="0" distL="0" distR="0">
            <wp:extent cx="2012315" cy="179959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39AA">
      <w:pPr>
        <w:pStyle w:val="11"/>
        <w:keepNext/>
        <w:keepLines/>
        <w:numPr>
          <w:ilvl w:val="0"/>
          <w:numId w:val="2"/>
        </w:numPr>
        <w:spacing w:before="156" w:beforeLines="50" w:after="156" w:afterLines="50" w:line="720" w:lineRule="auto"/>
        <w:ind w:firstLineChars="0"/>
        <w:outlineLvl w:val="2"/>
        <w:rPr>
          <w:b/>
          <w:bCs/>
          <w:vanish/>
          <w:szCs w:val="32"/>
        </w:rPr>
      </w:pPr>
    </w:p>
    <w:p w14:paraId="52410A06">
      <w:pPr>
        <w:pStyle w:val="11"/>
        <w:keepNext/>
        <w:keepLines/>
        <w:numPr>
          <w:ilvl w:val="0"/>
          <w:numId w:val="2"/>
        </w:numPr>
        <w:spacing w:before="156" w:beforeLines="50" w:after="156" w:afterLines="50" w:line="720" w:lineRule="auto"/>
        <w:ind w:firstLineChars="0"/>
        <w:outlineLvl w:val="2"/>
        <w:rPr>
          <w:b/>
          <w:bCs/>
          <w:vanish/>
          <w:szCs w:val="32"/>
        </w:rPr>
      </w:pPr>
    </w:p>
    <w:p w14:paraId="3C397A3E">
      <w:pPr>
        <w:pStyle w:val="4"/>
        <w:numPr>
          <w:ilvl w:val="1"/>
          <w:numId w:val="2"/>
        </w:numPr>
        <w:spacing w:before="156" w:after="156"/>
      </w:pPr>
      <w:r>
        <w:rPr>
          <w:rFonts w:hint="eastAsia"/>
        </w:rPr>
        <w:t>CA证书登录</w:t>
      </w:r>
    </w:p>
    <w:p w14:paraId="3B5B3D03">
      <w:pPr>
        <w:spacing w:before="156" w:after="156"/>
        <w:ind w:firstLine="480"/>
      </w:pPr>
      <w:r>
        <w:rPr>
          <w:rFonts w:hint="eastAsia"/>
        </w:rPr>
        <w:t>登录界面中点击【</w:t>
      </w:r>
      <w:r>
        <w:drawing>
          <wp:inline distT="0" distB="0" distL="0" distR="0">
            <wp:extent cx="737870" cy="212090"/>
            <wp:effectExtent l="0" t="0" r="508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】。</w:t>
      </w:r>
    </w:p>
    <w:p w14:paraId="0222A921">
      <w:pPr>
        <w:spacing w:before="156" w:after="156"/>
        <w:ind w:firstLine="480"/>
      </w:pPr>
      <w:r>
        <w:rPr>
          <w:rFonts w:hint="eastAsia"/>
        </w:rPr>
        <w:t>插入CAKey选择证书。</w:t>
      </w:r>
    </w:p>
    <w:p w14:paraId="34945F76">
      <w:pPr>
        <w:spacing w:before="156" w:after="156"/>
        <w:ind w:left="480" w:firstLine="0" w:firstLineChars="0"/>
        <w:jc w:val="center"/>
      </w:pPr>
      <w:r>
        <w:drawing>
          <wp:inline distT="0" distB="0" distL="0" distR="0">
            <wp:extent cx="2912110" cy="17995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C8D88">
      <w:pPr>
        <w:spacing w:before="156" w:after="156"/>
        <w:ind w:firstLine="480"/>
      </w:pPr>
      <w:r>
        <w:rPr>
          <w:rFonts w:hint="eastAsia"/>
        </w:rPr>
        <w:t>点击【</w:t>
      </w:r>
      <w:r>
        <w:drawing>
          <wp:inline distT="0" distB="0" distL="0" distR="0">
            <wp:extent cx="1273810" cy="17970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】，在弹出的对话框中输入用户口令，点击【确定】即可登录公共服务网上服务大厅。</w:t>
      </w:r>
    </w:p>
    <w:p w14:paraId="5FE0C17C">
      <w:pPr>
        <w:spacing w:before="156" w:after="156"/>
        <w:ind w:firstLine="480"/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drawing>
          <wp:inline distT="0" distB="0" distL="0" distR="0">
            <wp:extent cx="2141855" cy="10795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78CD2">
      <w:pPr>
        <w:spacing w:before="156" w:after="156"/>
        <w:ind w:firstLine="480"/>
      </w:pPr>
      <w:r>
        <w:rPr>
          <w:rFonts w:hint="eastAsia"/>
        </w:rPr>
        <w:t>点击登录，在弹出的对话框中输入用户口令，点击【确定】即可进入公共服务网上服务大厅。登录成功后点击【</w:t>
      </w:r>
      <w:r>
        <w:drawing>
          <wp:inline distT="0" distB="0" distL="0" distR="0">
            <wp:extent cx="680085" cy="208280"/>
            <wp:effectExtent l="0" t="0" r="571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】，跳转至我的服务大厅，点击【</w:t>
      </w:r>
      <w:r>
        <w:drawing>
          <wp:inline distT="0" distB="0" distL="0" distR="0">
            <wp:extent cx="676275" cy="19431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】后跳转至“药品和医用耗材招采管理子系统”。</w:t>
      </w:r>
    </w:p>
    <w:p w14:paraId="220BA2F4">
      <w:pPr>
        <w:ind w:firstLine="480"/>
      </w:pPr>
    </w:p>
    <w:p w14:paraId="5734A802">
      <w:pPr>
        <w:ind w:firstLine="480"/>
      </w:pPr>
    </w:p>
    <w:p w14:paraId="7E6FCDE9">
      <w:pPr>
        <w:ind w:firstLine="480"/>
      </w:pPr>
    </w:p>
    <w:p w14:paraId="75AE6BB8">
      <w:pPr>
        <w:ind w:firstLine="480"/>
      </w:pPr>
    </w:p>
    <w:p w14:paraId="40453E1B">
      <w:pPr>
        <w:ind w:firstLine="480"/>
      </w:pPr>
    </w:p>
    <w:p w14:paraId="400EBC1D">
      <w:pPr>
        <w:ind w:firstLine="480"/>
      </w:pPr>
    </w:p>
    <w:p w14:paraId="0D347998">
      <w:pPr>
        <w:pStyle w:val="2"/>
        <w:spacing w:before="312"/>
        <w:ind w:left="562" w:hanging="562"/>
      </w:pPr>
      <w:r>
        <w:rPr>
          <w:rFonts w:hint="eastAsia"/>
        </w:rPr>
        <w:t>功能介绍</w:t>
      </w:r>
    </w:p>
    <w:p w14:paraId="65BAAF44">
      <w:pPr>
        <w:pStyle w:val="11"/>
        <w:keepNext/>
        <w:keepLines/>
        <w:numPr>
          <w:ilvl w:val="0"/>
          <w:numId w:val="3"/>
        </w:numPr>
        <w:spacing w:before="156" w:beforeLines="50" w:after="156" w:afterLines="50" w:line="415" w:lineRule="auto"/>
        <w:ind w:firstLineChars="0"/>
        <w:outlineLvl w:val="1"/>
        <w:rPr>
          <w:rFonts w:hint="eastAsia" w:ascii="宋体" w:hAnsi="宋体" w:cstheme="majorBidi"/>
          <w:b/>
          <w:bCs/>
          <w:vanish/>
          <w:sz w:val="28"/>
          <w:szCs w:val="32"/>
        </w:rPr>
      </w:pPr>
    </w:p>
    <w:p w14:paraId="1EFED9B8">
      <w:pPr>
        <w:pStyle w:val="11"/>
        <w:keepNext/>
        <w:keepLines/>
        <w:numPr>
          <w:ilvl w:val="0"/>
          <w:numId w:val="3"/>
        </w:numPr>
        <w:spacing w:before="156" w:beforeLines="50" w:after="156" w:afterLines="50" w:line="415" w:lineRule="auto"/>
        <w:ind w:firstLineChars="0"/>
        <w:outlineLvl w:val="1"/>
        <w:rPr>
          <w:rFonts w:hint="eastAsia" w:ascii="宋体" w:hAnsi="宋体" w:cstheme="majorBidi"/>
          <w:b/>
          <w:bCs/>
          <w:vanish/>
          <w:sz w:val="28"/>
          <w:szCs w:val="32"/>
        </w:rPr>
      </w:pPr>
    </w:p>
    <w:p w14:paraId="29EAA87C">
      <w:pPr>
        <w:pStyle w:val="11"/>
        <w:keepNext/>
        <w:keepLines/>
        <w:numPr>
          <w:ilvl w:val="0"/>
          <w:numId w:val="3"/>
        </w:numPr>
        <w:spacing w:before="156" w:beforeLines="50" w:after="156" w:afterLines="50" w:line="415" w:lineRule="auto"/>
        <w:ind w:firstLineChars="0"/>
        <w:outlineLvl w:val="1"/>
        <w:rPr>
          <w:rFonts w:hint="eastAsia" w:ascii="宋体" w:hAnsi="宋体" w:cstheme="majorBidi"/>
          <w:b/>
          <w:bCs/>
          <w:vanish/>
          <w:sz w:val="28"/>
          <w:szCs w:val="32"/>
        </w:rPr>
      </w:pPr>
    </w:p>
    <w:p w14:paraId="0DCA2F79">
      <w:pPr>
        <w:pStyle w:val="5"/>
        <w:numPr>
          <w:ilvl w:val="2"/>
          <w:numId w:val="3"/>
        </w:numPr>
        <w:spacing w:before="156" w:after="156"/>
      </w:pPr>
      <w:r>
        <w:rPr>
          <w:rFonts w:hint="eastAsia"/>
          <w:lang w:val="en-US" w:eastAsia="zh-CN"/>
        </w:rPr>
        <w:t>药品结算账户登记</w:t>
      </w:r>
    </w:p>
    <w:p w14:paraId="32AEA1A9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进入药品交易结算模块</w:t>
      </w:r>
    </w:p>
    <w:p w14:paraId="1F4D5599">
      <w:r>
        <w:drawing>
          <wp:inline distT="0" distB="0" distL="114300" distR="114300">
            <wp:extent cx="5259705" cy="668020"/>
            <wp:effectExtent l="0" t="0" r="17145" b="17780"/>
            <wp:docPr id="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98F9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打开结算账户管理</w:t>
      </w:r>
    </w:p>
    <w:p w14:paraId="492EFF4C">
      <w:r>
        <w:drawing>
          <wp:inline distT="0" distB="0" distL="114300" distR="114300">
            <wp:extent cx="2276475" cy="3267075"/>
            <wp:effectExtent l="0" t="0" r="9525" b="9525"/>
            <wp:docPr id="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D6194"/>
    <w:p w14:paraId="54AD74A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参与结算必须先进行结算账户登记，打开“账户登记”，点击【申请结算账户登记】按钮，填写相关信息后点击【保存】按钮</w:t>
      </w:r>
    </w:p>
    <w:p w14:paraId="699A8BD7">
      <w:pPr>
        <w:ind w:firstLine="897" w:firstLineChars="374"/>
      </w:pPr>
      <w:r>
        <w:drawing>
          <wp:inline distT="0" distB="0" distL="114300" distR="114300">
            <wp:extent cx="5266690" cy="2200275"/>
            <wp:effectExtent l="0" t="0" r="6350" b="9525"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C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之后点击【提交申请函】即可。</w:t>
      </w:r>
    </w:p>
    <w:p w14:paraId="2987B0AB">
      <w:r>
        <w:drawing>
          <wp:inline distT="0" distB="0" distL="114300" distR="114300">
            <wp:extent cx="5271135" cy="1878965"/>
            <wp:effectExtent l="0" t="0" r="1905" b="10795"/>
            <wp:docPr id="3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6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账户变更</w:t>
      </w:r>
    </w:p>
    <w:p w14:paraId="5E0CB84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打开“账户变更”点击【申请变更结算账户】按钮</w:t>
      </w:r>
    </w:p>
    <w:p w14:paraId="25E38BF8">
      <w:r>
        <w:drawing>
          <wp:inline distT="0" distB="0" distL="114300" distR="114300">
            <wp:extent cx="5270500" cy="1290320"/>
            <wp:effectExtent l="0" t="0" r="6350" b="5080"/>
            <wp:docPr id="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4167">
      <w:r>
        <w:drawing>
          <wp:inline distT="0" distB="0" distL="114300" distR="114300">
            <wp:extent cx="5262245" cy="1273175"/>
            <wp:effectExtent l="0" t="0" r="14605" b="3175"/>
            <wp:docPr id="5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EB91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填写相关信息保存后提交。</w:t>
      </w:r>
    </w:p>
    <w:p w14:paraId="227F2242">
      <w:pPr>
        <w:pStyle w:val="5"/>
        <w:numPr>
          <w:ilvl w:val="2"/>
          <w:numId w:val="3"/>
        </w:numPr>
        <w:spacing w:before="156" w:after="15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耗材结算账户登记</w:t>
      </w:r>
    </w:p>
    <w:p w14:paraId="358C3EA6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进入耗材交易结算模块</w:t>
      </w:r>
    </w:p>
    <w:p w14:paraId="085409A3">
      <w:r>
        <w:drawing>
          <wp:inline distT="0" distB="0" distL="114300" distR="114300">
            <wp:extent cx="5272405" cy="1943735"/>
            <wp:effectExtent l="0" t="0" r="4445" b="18415"/>
            <wp:docPr id="6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0782E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打开结算账户管理</w:t>
      </w:r>
    </w:p>
    <w:p w14:paraId="70A445DE">
      <w:r>
        <w:drawing>
          <wp:inline distT="0" distB="0" distL="114300" distR="114300">
            <wp:extent cx="2276475" cy="3267075"/>
            <wp:effectExtent l="0" t="0" r="9525" b="9525"/>
            <wp:docPr id="5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59626"/>
    <w:p w14:paraId="73962BA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参与结算必须先进行结算账户登记，打开“账户登记”，点击【申请结算账户登记】按钮，填写相关信息后点击【保存】按钮</w:t>
      </w:r>
    </w:p>
    <w:p w14:paraId="706BED9B">
      <w:pPr>
        <w:ind w:firstLine="897" w:firstLineChars="374"/>
      </w:pPr>
      <w:r>
        <w:drawing>
          <wp:inline distT="0" distB="0" distL="114300" distR="114300">
            <wp:extent cx="5266690" cy="2200275"/>
            <wp:effectExtent l="0" t="0" r="6350" b="9525"/>
            <wp:docPr id="5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A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之后点击【提交申请函】即可。</w:t>
      </w:r>
    </w:p>
    <w:p w14:paraId="64C7A7BA">
      <w:r>
        <w:drawing>
          <wp:inline distT="0" distB="0" distL="114300" distR="114300">
            <wp:extent cx="5271135" cy="1878965"/>
            <wp:effectExtent l="0" t="0" r="1905" b="10795"/>
            <wp:docPr id="5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70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账户变更</w:t>
      </w:r>
    </w:p>
    <w:p w14:paraId="7F799B8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打开“账户变更”点击【申请变更结算账户】按钮</w:t>
      </w:r>
    </w:p>
    <w:p w14:paraId="38DAAF0B">
      <w:r>
        <w:drawing>
          <wp:inline distT="0" distB="0" distL="114300" distR="114300">
            <wp:extent cx="5270500" cy="1290320"/>
            <wp:effectExtent l="0" t="0" r="6350" b="5080"/>
            <wp:docPr id="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4DE3">
      <w:r>
        <w:drawing>
          <wp:inline distT="0" distB="0" distL="114300" distR="114300">
            <wp:extent cx="5262245" cy="1273175"/>
            <wp:effectExtent l="0" t="0" r="14605" b="3175"/>
            <wp:docPr id="6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5BE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填写相关信息保存后提交。</w:t>
      </w:r>
    </w:p>
    <w:p w14:paraId="2C99A1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D03C2"/>
    <w:multiLevelType w:val="multilevel"/>
    <w:tmpl w:val="1B0D03C2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4D32328E"/>
    <w:multiLevelType w:val="multilevel"/>
    <w:tmpl w:val="4D32328E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EA6377"/>
    <w:multiLevelType w:val="multilevel"/>
    <w:tmpl w:val="7CEA6377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38"/>
    <w:rsid w:val="00053A0A"/>
    <w:rsid w:val="00285173"/>
    <w:rsid w:val="00427611"/>
    <w:rsid w:val="0049215D"/>
    <w:rsid w:val="005274D0"/>
    <w:rsid w:val="0056439C"/>
    <w:rsid w:val="0067135C"/>
    <w:rsid w:val="006C721C"/>
    <w:rsid w:val="007B75D3"/>
    <w:rsid w:val="009F2386"/>
    <w:rsid w:val="00AD22FA"/>
    <w:rsid w:val="00B56238"/>
    <w:rsid w:val="00C348B9"/>
    <w:rsid w:val="00F355C6"/>
    <w:rsid w:val="00FF4FB5"/>
    <w:rsid w:val="011F5729"/>
    <w:rsid w:val="01BB32FB"/>
    <w:rsid w:val="05C15DDF"/>
    <w:rsid w:val="0A2F75F7"/>
    <w:rsid w:val="0B9A3C3B"/>
    <w:rsid w:val="0E67220F"/>
    <w:rsid w:val="152D5340"/>
    <w:rsid w:val="171B46FA"/>
    <w:rsid w:val="21683989"/>
    <w:rsid w:val="23956510"/>
    <w:rsid w:val="33B06D31"/>
    <w:rsid w:val="363B6CEA"/>
    <w:rsid w:val="36883BC8"/>
    <w:rsid w:val="39B90520"/>
    <w:rsid w:val="3A983A8D"/>
    <w:rsid w:val="3B9E7D8D"/>
    <w:rsid w:val="3D8733CE"/>
    <w:rsid w:val="3E8D1285"/>
    <w:rsid w:val="408324C2"/>
    <w:rsid w:val="4317033C"/>
    <w:rsid w:val="4745709A"/>
    <w:rsid w:val="4C856358"/>
    <w:rsid w:val="4CF726DE"/>
    <w:rsid w:val="5AEE624B"/>
    <w:rsid w:val="66B72144"/>
    <w:rsid w:val="670262BF"/>
    <w:rsid w:val="6D5B7C0B"/>
    <w:rsid w:val="6EA676E4"/>
    <w:rsid w:val="70893AA1"/>
    <w:rsid w:val="72066236"/>
    <w:rsid w:val="72B92290"/>
    <w:rsid w:val="74BE661A"/>
    <w:rsid w:val="7DF754C2"/>
    <w:rsid w:val="7F6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9"/>
    <w:pPr>
      <w:keepNext/>
      <w:keepLines/>
      <w:numPr>
        <w:ilvl w:val="0"/>
        <w:numId w:val="1"/>
      </w:numPr>
      <w:spacing w:before="100" w:beforeLines="100"/>
      <w:ind w:left="200" w:hanging="200" w:hangingChars="200"/>
      <w:outlineLvl w:val="0"/>
    </w:pPr>
    <w:rPr>
      <w:b/>
      <w:bCs/>
      <w:kern w:val="44"/>
      <w:sz w:val="28"/>
      <w:szCs w:val="44"/>
    </w:rPr>
  </w:style>
  <w:style w:type="paragraph" w:styleId="4">
    <w:name w:val="heading 2"/>
    <w:basedOn w:val="3"/>
    <w:next w:val="1"/>
    <w:link w:val="10"/>
    <w:unhideWhenUsed/>
    <w:qFormat/>
    <w:uiPriority w:val="9"/>
    <w:pPr>
      <w:keepNext/>
      <w:keepLines/>
      <w:spacing w:before="50" w:beforeLines="50" w:after="50" w:afterLines="50" w:line="415" w:lineRule="auto"/>
      <w:ind w:firstLine="0" w:firstLineChars="0"/>
      <w:outlineLvl w:val="1"/>
    </w:pPr>
    <w:rPr>
      <w:rFonts w:ascii="宋体" w:hAnsi="宋体" w:cstheme="majorBidi"/>
      <w:b/>
      <w:bCs/>
      <w:sz w:val="28"/>
      <w:szCs w:val="32"/>
    </w:rPr>
  </w:style>
  <w:style w:type="paragraph" w:styleId="5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ind w:firstLine="0" w:firstLineChars="0"/>
      <w:outlineLvl w:val="2"/>
    </w:pPr>
    <w:rPr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6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character" w:customStyle="1" w:styleId="9">
    <w:name w:val="标题 1 字符"/>
    <w:basedOn w:val="8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0">
    <w:name w:val="标题 2 字符"/>
    <w:basedOn w:val="8"/>
    <w:link w:val="4"/>
    <w:qFormat/>
    <w:uiPriority w:val="9"/>
    <w:rPr>
      <w:rFonts w:ascii="宋体" w:hAnsi="宋体" w:eastAsia="宋体" w:cstheme="majorBidi"/>
      <w:b/>
      <w:bCs/>
      <w:sz w:val="28"/>
      <w:szCs w:val="32"/>
    </w:rPr>
  </w:style>
  <w:style w:type="paragraph" w:styleId="11">
    <w:name w:val="List Paragraph"/>
    <w:basedOn w:val="1"/>
    <w:qFormat/>
    <w:uiPriority w:val="34"/>
    <w:pPr>
      <w:ind w:firstLine="420"/>
    </w:pPr>
  </w:style>
  <w:style w:type="character" w:customStyle="1" w:styleId="12">
    <w:name w:val="标题 3 字符"/>
    <w:basedOn w:val="8"/>
    <w:link w:val="5"/>
    <w:qFormat/>
    <w:uiPriority w:val="9"/>
    <w:rPr>
      <w:rFonts w:eastAsia="宋体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437</Words>
  <Characters>504</Characters>
  <Lines>10</Lines>
  <Paragraphs>2</Paragraphs>
  <TotalTime>1</TotalTime>
  <ScaleCrop>false</ScaleCrop>
  <LinksUpToDate>false</LinksUpToDate>
  <CharactersWithSpaces>506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2022-04-28T08:09:00Z</dcterms:created>
  <dc:creator>王 昌勤</dc:creator>
  <cp:lastModifiedBy>李新</cp:lastModifiedBy>
  <dcterms:modified xsi:type="dcterms:W3CDTF">2025-08-19T00:45:59Z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C19213D4EBF04E94A0AB72D60C984AC1_13</vt:lpwstr>
  </property>
  <property fmtid="{D5CDD505-2E9C-101B-9397-08002B2CF9AE}" pid="4" name="KSOTemplateDocerSaveRecord">
    <vt:lpwstr>eyJoZGlkIjoiY2E0NGNiZjUzMTI4N2VkYTFkNTFjNDc3MDgyOGZjNzEiLCJ1c2VySWQiOiI0NDc0ODMyNzgifQ==</vt:lpwstr>
  </property>
</Properties>
</file>